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EE8BF4" w14:textId="37F80C3A" w:rsidR="00C65C34" w:rsidRPr="00E4380A" w:rsidRDefault="00527EA8" w:rsidP="00C65C34">
      <w:pPr>
        <w:jc w:val="right"/>
        <w:rPr>
          <w:b/>
          <w:i/>
        </w:rPr>
      </w:pPr>
      <w:proofErr w:type="spellStart"/>
      <w:r>
        <w:rPr>
          <w:b/>
          <w:i/>
        </w:rPr>
        <w:t>Н.С.Савина</w:t>
      </w:r>
      <w:proofErr w:type="spellEnd"/>
      <w:r w:rsidR="00C65C34" w:rsidRPr="00E4380A">
        <w:rPr>
          <w:b/>
          <w:i/>
        </w:rPr>
        <w:t>,</w:t>
      </w:r>
    </w:p>
    <w:p w14:paraId="4D7BC24B" w14:textId="53B66850" w:rsidR="00C65C34" w:rsidRPr="00E4380A" w:rsidRDefault="00C65C34" w:rsidP="00C65C34">
      <w:pPr>
        <w:jc w:val="right"/>
        <w:rPr>
          <w:i/>
        </w:rPr>
      </w:pPr>
      <w:r w:rsidRPr="00E4380A">
        <w:rPr>
          <w:i/>
        </w:rPr>
        <w:t>магистрант группы № 33 М</w:t>
      </w:r>
    </w:p>
    <w:p w14:paraId="1FD988FF" w14:textId="77777777" w:rsidR="00C65C34" w:rsidRPr="00E4380A" w:rsidRDefault="00C65C34" w:rsidP="00C65C34">
      <w:pPr>
        <w:jc w:val="right"/>
        <w:rPr>
          <w:i/>
        </w:rPr>
      </w:pPr>
      <w:r w:rsidRPr="00E4380A">
        <w:rPr>
          <w:i/>
        </w:rPr>
        <w:t xml:space="preserve">магистерская программа </w:t>
      </w:r>
    </w:p>
    <w:p w14:paraId="776958A1" w14:textId="6AD08B83" w:rsidR="00C65C34" w:rsidRPr="00E4380A" w:rsidRDefault="00C65C34" w:rsidP="00C65C34">
      <w:pPr>
        <w:jc w:val="right"/>
        <w:rPr>
          <w:i/>
        </w:rPr>
      </w:pPr>
      <w:r w:rsidRPr="00E4380A">
        <w:rPr>
          <w:i/>
        </w:rPr>
        <w:t>«Международные финансы и банки»</w:t>
      </w:r>
    </w:p>
    <w:p w14:paraId="1F7A08F5" w14:textId="77777777" w:rsidR="00C65C34" w:rsidRPr="00E4380A" w:rsidRDefault="00C65C34" w:rsidP="00C65C34">
      <w:pPr>
        <w:jc w:val="right"/>
        <w:rPr>
          <w:i/>
        </w:rPr>
      </w:pPr>
      <w:r w:rsidRPr="00E4380A">
        <w:rPr>
          <w:i/>
        </w:rPr>
        <w:t>кафедры финансов и кредит,</w:t>
      </w:r>
    </w:p>
    <w:p w14:paraId="27B66B35" w14:textId="77777777" w:rsidR="00C65C34" w:rsidRPr="00E4380A" w:rsidRDefault="00C65C34" w:rsidP="00C65C34">
      <w:pPr>
        <w:jc w:val="right"/>
        <w:rPr>
          <w:i/>
        </w:rPr>
      </w:pPr>
      <w:r w:rsidRPr="00E4380A">
        <w:rPr>
          <w:i/>
        </w:rPr>
        <w:t xml:space="preserve">ПГУ </w:t>
      </w:r>
      <w:proofErr w:type="spellStart"/>
      <w:r w:rsidRPr="00E4380A">
        <w:rPr>
          <w:i/>
        </w:rPr>
        <w:t>им.Т.Г.Шевченко</w:t>
      </w:r>
      <w:proofErr w:type="spellEnd"/>
      <w:r w:rsidRPr="00E4380A">
        <w:rPr>
          <w:i/>
        </w:rPr>
        <w:t>,</w:t>
      </w:r>
    </w:p>
    <w:p w14:paraId="1C3B9FAE" w14:textId="77777777" w:rsidR="00C65C34" w:rsidRPr="00E4380A" w:rsidRDefault="00C65C34" w:rsidP="00C65C34">
      <w:pPr>
        <w:jc w:val="right"/>
        <w:rPr>
          <w:i/>
        </w:rPr>
      </w:pPr>
      <w:r w:rsidRPr="00E4380A">
        <w:rPr>
          <w:i/>
        </w:rPr>
        <w:t>ПМР, г. Тирасполь</w:t>
      </w:r>
    </w:p>
    <w:p w14:paraId="36699E5E" w14:textId="77777777" w:rsidR="00C65C34" w:rsidRPr="00E4380A" w:rsidRDefault="00C65C34" w:rsidP="00C65C34">
      <w:pPr>
        <w:jc w:val="right"/>
        <w:rPr>
          <w:i/>
        </w:rPr>
      </w:pPr>
      <w:r w:rsidRPr="00E4380A">
        <w:rPr>
          <w:i/>
        </w:rPr>
        <w:t>Научный руководитель</w:t>
      </w:r>
    </w:p>
    <w:p w14:paraId="0CED52EB" w14:textId="0EA945AE" w:rsidR="00C65C34" w:rsidRPr="00E4380A" w:rsidRDefault="00527EA8" w:rsidP="00C65C34">
      <w:pPr>
        <w:jc w:val="right"/>
        <w:rPr>
          <w:b/>
          <w:i/>
        </w:rPr>
      </w:pPr>
      <w:proofErr w:type="spellStart"/>
      <w:r>
        <w:rPr>
          <w:b/>
          <w:i/>
        </w:rPr>
        <w:t>Ю.М.Сафронов</w:t>
      </w:r>
      <w:proofErr w:type="spellEnd"/>
      <w:r w:rsidR="00C65C34" w:rsidRPr="00E4380A">
        <w:rPr>
          <w:b/>
          <w:i/>
        </w:rPr>
        <w:t>,</w:t>
      </w:r>
    </w:p>
    <w:p w14:paraId="2424E401" w14:textId="35F6A3D8" w:rsidR="00C65C34" w:rsidRPr="00E4380A" w:rsidRDefault="00527EA8" w:rsidP="00C65C34">
      <w:pPr>
        <w:jc w:val="right"/>
        <w:rPr>
          <w:i/>
        </w:rPr>
      </w:pPr>
      <w:proofErr w:type="spellStart"/>
      <w:r>
        <w:rPr>
          <w:i/>
        </w:rPr>
        <w:t>К.эк.наук</w:t>
      </w:r>
      <w:proofErr w:type="spellEnd"/>
      <w:r>
        <w:rPr>
          <w:i/>
        </w:rPr>
        <w:t xml:space="preserve">, </w:t>
      </w:r>
      <w:r w:rsidR="00C65C34" w:rsidRPr="00E4380A">
        <w:rPr>
          <w:i/>
        </w:rPr>
        <w:t>доцент,</w:t>
      </w:r>
    </w:p>
    <w:p w14:paraId="364BB93B" w14:textId="77777777" w:rsidR="00C65C34" w:rsidRPr="00E4380A" w:rsidRDefault="00C65C34" w:rsidP="00C65C34">
      <w:pPr>
        <w:jc w:val="right"/>
        <w:rPr>
          <w:i/>
        </w:rPr>
      </w:pPr>
    </w:p>
    <w:p w14:paraId="120DCF1F" w14:textId="77777777" w:rsidR="00C65C34" w:rsidRPr="00E4380A" w:rsidRDefault="00C65C34" w:rsidP="00C65C34">
      <w:pPr>
        <w:jc w:val="right"/>
        <w:rPr>
          <w:b/>
          <w:i/>
        </w:rPr>
      </w:pPr>
    </w:p>
    <w:p w14:paraId="6B3AAF70" w14:textId="22D53185" w:rsidR="007209CB" w:rsidRPr="007209CB" w:rsidRDefault="007209CB" w:rsidP="007209CB">
      <w:pPr>
        <w:spacing w:line="276" w:lineRule="auto"/>
        <w:ind w:firstLine="567"/>
        <w:jc w:val="center"/>
        <w:rPr>
          <w:rFonts w:eastAsia="Calibri"/>
          <w:b/>
          <w:lang w:eastAsia="en-US"/>
        </w:rPr>
      </w:pPr>
      <w:r w:rsidRPr="007209CB">
        <w:rPr>
          <w:color w:val="000000" w:themeColor="text1"/>
        </w:rPr>
        <w:t>РАЗРАБОТКА МЕРОПРИЯТИЙ ПО СОВЕРШЕНСТВОВАНИЮ ПОЛИТИКИ УПРАВЛЕНИЯ ЛИКВИДНОСТЬЮ ЗАО «ПРИДНЕСТРОВСКИЙ СБЕРБАНК» И ОЦЕНКА ИХ ЭФФЕКТИВНОСТИ</w:t>
      </w:r>
    </w:p>
    <w:p w14:paraId="01A6BE60" w14:textId="77777777" w:rsidR="007209CB" w:rsidRPr="007209CB" w:rsidRDefault="007209CB" w:rsidP="007209CB">
      <w:pPr>
        <w:widowControl w:val="0"/>
        <w:jc w:val="center"/>
        <w:rPr>
          <w:rFonts w:eastAsia="Calibri"/>
          <w:b/>
          <w:lang w:val="en-US" w:eastAsia="en-US"/>
        </w:rPr>
      </w:pPr>
      <w:r w:rsidRPr="007209CB">
        <w:rPr>
          <w:rFonts w:eastAsia="Calibri"/>
          <w:b/>
          <w:lang w:val="en" w:eastAsia="en-US"/>
        </w:rPr>
        <w:t>DEVELOPMENT OF MEASURES TO IMPROVE THE LIQUIDITY MANAGEMENT POLICY OF CJSC "PRIDNESTROVSKY SBERBANK" AND ASSESSMENT OF THEIR EFFICIENCY</w:t>
      </w:r>
    </w:p>
    <w:p w14:paraId="2F7AC9B8" w14:textId="77777777" w:rsidR="00C65C34" w:rsidRPr="00E4380A" w:rsidRDefault="00C65C34" w:rsidP="00C65C34">
      <w:pPr>
        <w:widowControl w:val="0"/>
        <w:jc w:val="center"/>
        <w:rPr>
          <w:b/>
          <w:lang w:val="en-US"/>
        </w:rPr>
      </w:pPr>
    </w:p>
    <w:p w14:paraId="1499756F" w14:textId="77777777" w:rsidR="00C65C34" w:rsidRPr="00E4380A" w:rsidRDefault="00C65C34" w:rsidP="00C65C34">
      <w:pPr>
        <w:widowControl w:val="0"/>
        <w:jc w:val="center"/>
        <w:rPr>
          <w:b/>
          <w:lang w:val="en-US"/>
        </w:rPr>
      </w:pPr>
    </w:p>
    <w:p w14:paraId="7C162097" w14:textId="65D5CF28" w:rsidR="00A00086" w:rsidRPr="007209CB" w:rsidRDefault="00C65C34" w:rsidP="00527EA8">
      <w:pPr>
        <w:widowControl w:val="0"/>
        <w:ind w:firstLine="709"/>
        <w:jc w:val="both"/>
      </w:pPr>
      <w:r w:rsidRPr="00E4380A">
        <w:rPr>
          <w:b/>
        </w:rPr>
        <w:t>Аннотация.</w:t>
      </w:r>
      <w:r w:rsidRPr="00E4380A">
        <w:t xml:space="preserve"> </w:t>
      </w:r>
      <w:r w:rsidR="00527EA8" w:rsidRPr="00527EA8">
        <w:t>В процессе управления банки сталкиваются с проблемой оптимального соотношения ликвидности и прибыльности. В статье анализируется оценка ликвидности и финансовой устойчивости коммерческого банка. Способы расчетов и определение финансовой ликвидности банка. Автор</w:t>
      </w:r>
      <w:r w:rsidR="00527EA8" w:rsidRPr="007209CB">
        <w:t xml:space="preserve"> </w:t>
      </w:r>
      <w:r w:rsidR="00527EA8" w:rsidRPr="00527EA8">
        <w:t>исследует</w:t>
      </w:r>
      <w:r w:rsidR="00527EA8" w:rsidRPr="007209CB">
        <w:t xml:space="preserve"> </w:t>
      </w:r>
      <w:r w:rsidR="00527EA8" w:rsidRPr="00527EA8">
        <w:t>применимость</w:t>
      </w:r>
      <w:r w:rsidR="00527EA8" w:rsidRPr="007209CB">
        <w:t xml:space="preserve"> </w:t>
      </w:r>
      <w:r w:rsidR="00527EA8" w:rsidRPr="00527EA8">
        <w:t>этих</w:t>
      </w:r>
      <w:r w:rsidR="00527EA8" w:rsidRPr="007209CB">
        <w:t xml:space="preserve"> </w:t>
      </w:r>
      <w:r w:rsidR="00527EA8" w:rsidRPr="00527EA8">
        <w:t>мер</w:t>
      </w:r>
      <w:r w:rsidR="00527EA8" w:rsidRPr="007209CB">
        <w:t xml:space="preserve"> </w:t>
      </w:r>
      <w:r w:rsidR="00527EA8" w:rsidRPr="00527EA8">
        <w:t>в</w:t>
      </w:r>
      <w:r w:rsidR="00527EA8" w:rsidRPr="007209CB">
        <w:t xml:space="preserve"> </w:t>
      </w:r>
      <w:r w:rsidR="00527EA8" w:rsidRPr="00527EA8">
        <w:t>Приднестровье</w:t>
      </w:r>
      <w:r w:rsidR="00527EA8" w:rsidRPr="007209CB">
        <w:t>.</w:t>
      </w:r>
    </w:p>
    <w:p w14:paraId="118EB0D0" w14:textId="77777777" w:rsidR="00C65C34" w:rsidRPr="007209CB" w:rsidRDefault="00C65C34" w:rsidP="00C65C34">
      <w:pPr>
        <w:widowControl w:val="0"/>
        <w:ind w:firstLine="709"/>
        <w:jc w:val="both"/>
      </w:pPr>
    </w:p>
    <w:p w14:paraId="584C7A77" w14:textId="240B1806" w:rsidR="00A00086" w:rsidRPr="00527EA8" w:rsidRDefault="00C65C34" w:rsidP="00527EA8">
      <w:pPr>
        <w:widowControl w:val="0"/>
        <w:ind w:firstLine="709"/>
        <w:jc w:val="both"/>
        <w:rPr>
          <w:lang w:val="en"/>
        </w:rPr>
      </w:pPr>
      <w:r w:rsidRPr="00E4380A">
        <w:rPr>
          <w:b/>
          <w:lang w:val="en-US"/>
        </w:rPr>
        <w:t xml:space="preserve">Abstract. </w:t>
      </w:r>
      <w:r w:rsidR="00527EA8" w:rsidRPr="00527EA8">
        <w:rPr>
          <w:lang w:val="en"/>
        </w:rPr>
        <w:t xml:space="preserve">In the process of management, banks </w:t>
      </w:r>
      <w:proofErr w:type="gramStart"/>
      <w:r w:rsidR="00527EA8" w:rsidRPr="00527EA8">
        <w:rPr>
          <w:lang w:val="en"/>
        </w:rPr>
        <w:t>are faced</w:t>
      </w:r>
      <w:proofErr w:type="gramEnd"/>
      <w:r w:rsidR="00527EA8" w:rsidRPr="00527EA8">
        <w:rPr>
          <w:lang w:val="en"/>
        </w:rPr>
        <w:t xml:space="preserve"> with the problem of the optimal balance of liquidity and profitability. The article analyzes the assessment of liquidity and financial stability of a commercial bank. Payment methods and determination of the bank's financial liquidity. The author examines the applicability of these measures in </w:t>
      </w:r>
      <w:proofErr w:type="spellStart"/>
      <w:r w:rsidR="00527EA8" w:rsidRPr="00527EA8">
        <w:rPr>
          <w:lang w:val="en"/>
        </w:rPr>
        <w:t>Transnistria</w:t>
      </w:r>
      <w:proofErr w:type="spellEnd"/>
      <w:r w:rsidR="00527EA8" w:rsidRPr="00527EA8">
        <w:rPr>
          <w:lang w:val="en"/>
        </w:rPr>
        <w:t>.</w:t>
      </w:r>
    </w:p>
    <w:p w14:paraId="2A21D628" w14:textId="09031BE6" w:rsidR="00C65C34" w:rsidRPr="00E4380A" w:rsidRDefault="00C65C34" w:rsidP="00C65C34">
      <w:pPr>
        <w:widowControl w:val="0"/>
        <w:ind w:firstLine="709"/>
        <w:jc w:val="both"/>
        <w:rPr>
          <w:lang w:val="en-US"/>
        </w:rPr>
      </w:pPr>
    </w:p>
    <w:p w14:paraId="4CADB96C" w14:textId="7A7D545E" w:rsidR="00527EA8" w:rsidRPr="00527EA8" w:rsidRDefault="00527EA8" w:rsidP="00527EA8">
      <w:pPr>
        <w:spacing w:line="360" w:lineRule="auto"/>
        <w:ind w:firstLine="567"/>
        <w:jc w:val="both"/>
        <w:rPr>
          <w:b/>
        </w:rPr>
      </w:pPr>
      <w:r w:rsidRPr="00527EA8">
        <w:rPr>
          <w:b/>
          <w:bCs/>
        </w:rPr>
        <w:t xml:space="preserve">Ключевые слова: </w:t>
      </w:r>
      <w:r w:rsidRPr="00527EA8">
        <w:rPr>
          <w:iCs/>
        </w:rPr>
        <w:t>ликвидность, банки, нормативы ликвидности, методы о</w:t>
      </w:r>
      <w:r w:rsidR="007209CB">
        <w:rPr>
          <w:iCs/>
        </w:rPr>
        <w:t xml:space="preserve">ценки ликвидности, </w:t>
      </w:r>
      <w:proofErr w:type="spellStart"/>
      <w:proofErr w:type="gramStart"/>
      <w:r w:rsidR="007209CB">
        <w:rPr>
          <w:iCs/>
        </w:rPr>
        <w:t>устойчивость,стресс</w:t>
      </w:r>
      <w:proofErr w:type="spellEnd"/>
      <w:proofErr w:type="gramEnd"/>
      <w:r w:rsidR="007209CB">
        <w:rPr>
          <w:iCs/>
        </w:rPr>
        <w:t>-тестирование</w:t>
      </w:r>
    </w:p>
    <w:p w14:paraId="3FAF3409" w14:textId="7899F581" w:rsidR="00527EA8" w:rsidRPr="007209CB" w:rsidRDefault="00527EA8" w:rsidP="00527EA8">
      <w:pPr>
        <w:spacing w:line="360" w:lineRule="auto"/>
        <w:ind w:firstLine="567"/>
        <w:jc w:val="both"/>
        <w:rPr>
          <w:lang w:val="en-US"/>
        </w:rPr>
      </w:pPr>
      <w:r w:rsidRPr="00527EA8">
        <w:rPr>
          <w:b/>
          <w:lang w:val="en-US"/>
        </w:rPr>
        <w:t>Keywords</w:t>
      </w:r>
      <w:r w:rsidRPr="00527EA8">
        <w:rPr>
          <w:lang w:val="en-US"/>
        </w:rPr>
        <w:t>:</w:t>
      </w:r>
      <w:r w:rsidRPr="00527EA8">
        <w:rPr>
          <w:color w:val="202124"/>
          <w:lang w:val="en-US"/>
        </w:rPr>
        <w:t xml:space="preserve"> </w:t>
      </w:r>
      <w:r w:rsidRPr="00527EA8">
        <w:rPr>
          <w:lang w:val="en"/>
        </w:rPr>
        <w:t>liquidity, banks, liquidity standards, methods of</w:t>
      </w:r>
      <w:r w:rsidR="007209CB">
        <w:rPr>
          <w:lang w:val="en"/>
        </w:rPr>
        <w:t xml:space="preserve"> assessing liquidity, stability</w:t>
      </w:r>
      <w:r w:rsidR="007209CB" w:rsidRPr="007209CB">
        <w:rPr>
          <w:lang w:val="en-US"/>
        </w:rPr>
        <w:t xml:space="preserve">, </w:t>
      </w:r>
      <w:r w:rsidR="007209CB" w:rsidRPr="007209CB">
        <w:rPr>
          <w:lang w:val="en-US"/>
        </w:rPr>
        <w:br/>
        <w:t>stress testing</w:t>
      </w:r>
    </w:p>
    <w:p w14:paraId="5375AD3F" w14:textId="77777777" w:rsidR="00C65C34" w:rsidRPr="007209CB" w:rsidRDefault="00C65C34" w:rsidP="007209CB">
      <w:pPr>
        <w:spacing w:line="276" w:lineRule="auto"/>
        <w:jc w:val="both"/>
        <w:rPr>
          <w:b/>
          <w:lang w:val="en-US"/>
        </w:rPr>
      </w:pPr>
    </w:p>
    <w:p w14:paraId="7D427820" w14:textId="77777777" w:rsidR="007209CB" w:rsidRPr="007209CB" w:rsidRDefault="007209CB" w:rsidP="007209CB">
      <w:pPr>
        <w:spacing w:line="276" w:lineRule="auto"/>
        <w:ind w:firstLine="720"/>
        <w:jc w:val="both"/>
      </w:pPr>
      <w:r w:rsidRPr="007209CB">
        <w:t>Ликвидность – это индикатор здоровья банка, и возникновение проблем с ликвидностью является первым симптомом его нарушения.  Улучшение ликвидности может быть достигнуто изменением структуры привлеченных ресурсов: увеличением доли срочных депозитов путем возможного переоформления стабильной части остатков средств на счетах до востребования в </w:t>
      </w:r>
      <w:hyperlink r:id="rId7" w:anchor="class150" w:history="1">
        <w:r w:rsidRPr="007209CB">
          <w:rPr>
            <w:rStyle w:val="a4"/>
            <w:color w:val="000000" w:themeColor="text1"/>
            <w:u w:val="none"/>
          </w:rPr>
          <w:t>срочные депозиты</w:t>
        </w:r>
      </w:hyperlink>
      <w:r w:rsidRPr="007209CB">
        <w:rPr>
          <w:color w:val="000000" w:themeColor="text1"/>
        </w:rPr>
        <w:t xml:space="preserve">. </w:t>
      </w:r>
    </w:p>
    <w:p w14:paraId="7A076BEB" w14:textId="77777777" w:rsidR="007209CB" w:rsidRPr="007209CB" w:rsidRDefault="007209CB" w:rsidP="007209CB">
      <w:pPr>
        <w:spacing w:line="276" w:lineRule="auto"/>
        <w:ind w:firstLine="720"/>
        <w:jc w:val="both"/>
      </w:pPr>
      <w:r w:rsidRPr="007209CB">
        <w:t xml:space="preserve">Для быстрого реагирования на ухудшение финансового состояния коммерческого банка выделим стресс-тест, как инструментарий, который позволяет устранить проблему недостаточной ликвидности в структурном подразделении. </w:t>
      </w:r>
    </w:p>
    <w:p w14:paraId="09C3FFCD" w14:textId="77777777" w:rsidR="007209CB" w:rsidRPr="007209CB" w:rsidRDefault="007209CB" w:rsidP="007209CB">
      <w:pPr>
        <w:spacing w:line="276" w:lineRule="auto"/>
        <w:ind w:firstLine="720"/>
        <w:jc w:val="both"/>
      </w:pPr>
      <w:r w:rsidRPr="007209CB">
        <w:t xml:space="preserve">Осуществляя переход к процедурам стресс-тестирования, как инструментария анализа и управления рисками, следует отметить наличие проблемного поля - формализация модели реализации стресс-тестирования, где теоретические исследования акцентируются существенным образом на рыночных и кредитных рисках, прогноз и оценка </w:t>
      </w:r>
      <w:r w:rsidRPr="007209CB">
        <w:lastRenderedPageBreak/>
        <w:t>которых, представляет наиболее глубокими и детальными, считаются максимально достоверными, не предполагая каких-либо исключительных и непредвиденных потерь.</w:t>
      </w:r>
    </w:p>
    <w:p w14:paraId="3F38FE77" w14:textId="77777777" w:rsidR="007209CB" w:rsidRPr="007209CB" w:rsidRDefault="007209CB" w:rsidP="007209CB">
      <w:pPr>
        <w:spacing w:line="276" w:lineRule="auto"/>
        <w:ind w:firstLine="720"/>
        <w:jc w:val="both"/>
      </w:pPr>
      <w:r w:rsidRPr="007209CB">
        <w:t xml:space="preserve"> Для реализации механизма стресс-тестирования применительно к управлению ликвидностью следует раскрыть теоретический аспект терминологии стресс-тестирования.</w:t>
      </w:r>
    </w:p>
    <w:p w14:paraId="0886EE68" w14:textId="77777777" w:rsidR="007209CB" w:rsidRPr="007209CB" w:rsidRDefault="007209CB" w:rsidP="007209CB">
      <w:pPr>
        <w:spacing w:line="276" w:lineRule="auto"/>
        <w:ind w:firstLine="720"/>
        <w:jc w:val="both"/>
      </w:pPr>
      <w:r w:rsidRPr="007209CB">
        <w:t xml:space="preserve">В первую очередь следует отметить, что ЗАО «Приднестровский Сбербанк» дает определение стресс-тестированию, как «процедура оценки потенциального воздействия на финансовое состояние кредитной организации ряда заданных изменений в факторах риска, которые соответствуют исключительным, но вероятностным событиям». </w:t>
      </w:r>
    </w:p>
    <w:p w14:paraId="3B74B0B9" w14:textId="77777777" w:rsidR="007209CB" w:rsidRPr="007209CB" w:rsidRDefault="007209CB" w:rsidP="007209CB">
      <w:pPr>
        <w:spacing w:line="276" w:lineRule="auto"/>
        <w:ind w:firstLine="720"/>
        <w:jc w:val="both"/>
      </w:pPr>
      <w:r w:rsidRPr="007209CB">
        <w:t>Также следует сделать акцент на том, что наличие такого стресс-теста и его комплексную характеристику, охватывающие основные виды банковских рисков, необходимо включать в оценку качества планирования.</w:t>
      </w:r>
    </w:p>
    <w:p w14:paraId="209432E8" w14:textId="19A6583B" w:rsidR="007209CB" w:rsidRPr="007209CB" w:rsidRDefault="007209CB" w:rsidP="007209CB">
      <w:pPr>
        <w:spacing w:line="276" w:lineRule="auto"/>
        <w:ind w:firstLine="720"/>
        <w:jc w:val="both"/>
      </w:pPr>
      <w:r w:rsidRPr="007209CB">
        <w:t xml:space="preserve"> «Стресс-тест» является приближенной оценкой изменения стоимости некого финансового инструмента или их портфеля в ответ на экстремальные изменения факторов риска (например, цен на активы). Таким образом, стресс-тестирование является инструментом анализа влияния различного характера событий на уровень устойчивости банковской организации. Итогом построения данной модели тестирования станет достижение оптимального условия функционирования организации – адекватность доходов и рисков.</w:t>
      </w:r>
      <w:r w:rsidRPr="007209CB">
        <w:rPr>
          <w:color w:val="FF0000"/>
        </w:rPr>
        <w:t xml:space="preserve"> </w:t>
      </w:r>
    </w:p>
    <w:p w14:paraId="7071C08D" w14:textId="5372B5D4" w:rsidR="007209CB" w:rsidRPr="007209CB" w:rsidRDefault="007209CB" w:rsidP="007209CB">
      <w:pPr>
        <w:spacing w:line="276" w:lineRule="auto"/>
        <w:ind w:firstLine="720"/>
        <w:jc w:val="both"/>
        <w:rPr>
          <w:color w:val="000000" w:themeColor="text1"/>
        </w:rPr>
      </w:pPr>
      <w:r w:rsidRPr="007209CB">
        <w:rPr>
          <w:color w:val="000000" w:themeColor="text1"/>
        </w:rPr>
        <w:t xml:space="preserve">На основе данных публикуемой отчетности ЗАО «Приднестровский Сбербанк» можно провести стресс-тестирование показателей ликвидности банка, </w:t>
      </w:r>
      <w:proofErr w:type="gramStart"/>
      <w:r w:rsidRPr="007209CB">
        <w:rPr>
          <w:color w:val="000000" w:themeColor="text1"/>
        </w:rPr>
        <w:t>смоделировав  сценарий</w:t>
      </w:r>
      <w:proofErr w:type="gramEnd"/>
      <w:r w:rsidRPr="007209CB">
        <w:rPr>
          <w:color w:val="000000" w:themeColor="text1"/>
        </w:rPr>
        <w:t xml:space="preserve"> влияния внешних факторов на ликвидность и финансовую устойчивость банка, взяв за основу исполнение обязательств перед физическими лицами, так как это наиболее уя</w:t>
      </w:r>
      <w:r>
        <w:rPr>
          <w:color w:val="000000" w:themeColor="text1"/>
        </w:rPr>
        <w:t>звимая категория клиентов банка.</w:t>
      </w:r>
    </w:p>
    <w:p w14:paraId="56F4CBFF" w14:textId="5CFD7E66" w:rsidR="007209CB" w:rsidRPr="007209CB" w:rsidRDefault="007209CB" w:rsidP="007209CB">
      <w:pPr>
        <w:spacing w:line="276" w:lineRule="auto"/>
        <w:ind w:firstLine="720"/>
        <w:jc w:val="right"/>
        <w:rPr>
          <w:color w:val="000000" w:themeColor="text1"/>
        </w:rPr>
      </w:pPr>
      <w:r>
        <w:rPr>
          <w:color w:val="000000" w:themeColor="text1"/>
        </w:rPr>
        <w:t>Таблица 1</w:t>
      </w:r>
    </w:p>
    <w:p w14:paraId="0842C956" w14:textId="77777777" w:rsidR="007209CB" w:rsidRPr="007209CB" w:rsidRDefault="007209CB" w:rsidP="007209CB">
      <w:pPr>
        <w:spacing w:line="276" w:lineRule="auto"/>
        <w:ind w:firstLine="720"/>
        <w:jc w:val="center"/>
        <w:rPr>
          <w:b/>
          <w:color w:val="000000" w:themeColor="text1"/>
        </w:rPr>
      </w:pPr>
      <w:r w:rsidRPr="007209CB">
        <w:rPr>
          <w:b/>
          <w:color w:val="000000" w:themeColor="text1"/>
        </w:rPr>
        <w:t>Стресс-тестирование ликвидности ЗАО «Приднестровский Сбербанк» на 01.01.2021г., млн. руб.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12"/>
        <w:gridCol w:w="2616"/>
        <w:gridCol w:w="2126"/>
        <w:gridCol w:w="1911"/>
        <w:gridCol w:w="1780"/>
      </w:tblGrid>
      <w:tr w:rsidR="007209CB" w:rsidRPr="007209CB" w14:paraId="3D14CB0B" w14:textId="77777777" w:rsidTr="009B1F35">
        <w:tc>
          <w:tcPr>
            <w:tcW w:w="958" w:type="dxa"/>
            <w:vAlign w:val="center"/>
          </w:tcPr>
          <w:p w14:paraId="0532979A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№п\п</w:t>
            </w:r>
          </w:p>
        </w:tc>
        <w:tc>
          <w:tcPr>
            <w:tcW w:w="2824" w:type="dxa"/>
            <w:vAlign w:val="center"/>
          </w:tcPr>
          <w:p w14:paraId="00EE9AA2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Факторы</w:t>
            </w:r>
          </w:p>
        </w:tc>
        <w:tc>
          <w:tcPr>
            <w:tcW w:w="5789" w:type="dxa"/>
            <w:gridSpan w:val="3"/>
            <w:vAlign w:val="center"/>
          </w:tcPr>
          <w:p w14:paraId="5CAEE85B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Ликвидность банка</w:t>
            </w:r>
          </w:p>
        </w:tc>
      </w:tr>
      <w:tr w:rsidR="007209CB" w:rsidRPr="007209CB" w14:paraId="0B654BB9" w14:textId="77777777" w:rsidTr="009B1F35">
        <w:tc>
          <w:tcPr>
            <w:tcW w:w="3782" w:type="dxa"/>
            <w:gridSpan w:val="2"/>
            <w:vMerge w:val="restart"/>
            <w:vAlign w:val="center"/>
          </w:tcPr>
          <w:p w14:paraId="61BE3E16" w14:textId="77777777" w:rsidR="007209CB" w:rsidRPr="007209CB" w:rsidRDefault="007209CB" w:rsidP="007209CB">
            <w:pPr>
              <w:spacing w:line="276" w:lineRule="auto"/>
              <w:jc w:val="both"/>
              <w:rPr>
                <w:b/>
                <w:color w:val="000000" w:themeColor="text1"/>
              </w:rPr>
            </w:pPr>
            <w:r w:rsidRPr="007209CB">
              <w:rPr>
                <w:b/>
                <w:color w:val="000000" w:themeColor="text1"/>
              </w:rPr>
              <w:t>По состоянию на 01.01.2021г.</w:t>
            </w:r>
          </w:p>
        </w:tc>
        <w:tc>
          <w:tcPr>
            <w:tcW w:w="1967" w:type="dxa"/>
            <w:vAlign w:val="center"/>
          </w:tcPr>
          <w:p w14:paraId="5A60AAB5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Высоколиквидные активы</w:t>
            </w:r>
          </w:p>
        </w:tc>
        <w:tc>
          <w:tcPr>
            <w:tcW w:w="1981" w:type="dxa"/>
            <w:vAlign w:val="center"/>
          </w:tcPr>
          <w:p w14:paraId="4981BDFE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Обязательства перед физическими лицами</w:t>
            </w:r>
          </w:p>
        </w:tc>
        <w:tc>
          <w:tcPr>
            <w:tcW w:w="1841" w:type="dxa"/>
            <w:vAlign w:val="center"/>
          </w:tcPr>
          <w:p w14:paraId="116283C1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Показатель ликвидности, %</w:t>
            </w:r>
          </w:p>
        </w:tc>
      </w:tr>
      <w:tr w:rsidR="007209CB" w:rsidRPr="007209CB" w14:paraId="706E1669" w14:textId="77777777" w:rsidTr="009B1F35">
        <w:tc>
          <w:tcPr>
            <w:tcW w:w="3782" w:type="dxa"/>
            <w:gridSpan w:val="2"/>
            <w:vMerge/>
            <w:vAlign w:val="center"/>
          </w:tcPr>
          <w:p w14:paraId="4816AC0F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</w:p>
        </w:tc>
        <w:tc>
          <w:tcPr>
            <w:tcW w:w="1967" w:type="dxa"/>
            <w:vAlign w:val="center"/>
          </w:tcPr>
          <w:p w14:paraId="28D3899A" w14:textId="77777777" w:rsidR="007209CB" w:rsidRPr="007209CB" w:rsidRDefault="007209CB" w:rsidP="007209CB">
            <w:pPr>
              <w:spacing w:line="276" w:lineRule="auto"/>
              <w:jc w:val="both"/>
              <w:rPr>
                <w:b/>
                <w:color w:val="000000" w:themeColor="text1"/>
              </w:rPr>
            </w:pPr>
            <w:r w:rsidRPr="007209CB">
              <w:rPr>
                <w:b/>
                <w:color w:val="000000" w:themeColor="text1"/>
              </w:rPr>
              <w:t>640,38</w:t>
            </w:r>
          </w:p>
        </w:tc>
        <w:tc>
          <w:tcPr>
            <w:tcW w:w="1981" w:type="dxa"/>
            <w:vAlign w:val="center"/>
          </w:tcPr>
          <w:p w14:paraId="56529DBA" w14:textId="77777777" w:rsidR="007209CB" w:rsidRPr="007209CB" w:rsidRDefault="007209CB" w:rsidP="007209CB">
            <w:pPr>
              <w:spacing w:line="276" w:lineRule="auto"/>
              <w:jc w:val="both"/>
              <w:rPr>
                <w:b/>
                <w:color w:val="000000" w:themeColor="text1"/>
              </w:rPr>
            </w:pPr>
            <w:r w:rsidRPr="007209CB">
              <w:rPr>
                <w:b/>
                <w:color w:val="000000" w:themeColor="text1"/>
              </w:rPr>
              <w:t>1 114,00</w:t>
            </w:r>
          </w:p>
        </w:tc>
        <w:tc>
          <w:tcPr>
            <w:tcW w:w="1841" w:type="dxa"/>
            <w:vAlign w:val="center"/>
          </w:tcPr>
          <w:p w14:paraId="3A79DF08" w14:textId="77777777" w:rsidR="007209CB" w:rsidRPr="007209CB" w:rsidRDefault="007209CB" w:rsidP="007209CB">
            <w:pPr>
              <w:spacing w:line="276" w:lineRule="auto"/>
              <w:jc w:val="both"/>
              <w:rPr>
                <w:b/>
                <w:color w:val="000000" w:themeColor="text1"/>
              </w:rPr>
            </w:pPr>
            <w:r w:rsidRPr="007209CB">
              <w:rPr>
                <w:b/>
                <w:color w:val="000000" w:themeColor="text1"/>
              </w:rPr>
              <w:t>57,48</w:t>
            </w:r>
          </w:p>
        </w:tc>
      </w:tr>
      <w:tr w:rsidR="007209CB" w:rsidRPr="007209CB" w14:paraId="46706703" w14:textId="77777777" w:rsidTr="009B1F35">
        <w:tc>
          <w:tcPr>
            <w:tcW w:w="958" w:type="dxa"/>
            <w:vAlign w:val="center"/>
          </w:tcPr>
          <w:p w14:paraId="4A5EB88C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1</w:t>
            </w:r>
          </w:p>
        </w:tc>
        <w:tc>
          <w:tcPr>
            <w:tcW w:w="2824" w:type="dxa"/>
            <w:vAlign w:val="center"/>
          </w:tcPr>
          <w:p w14:paraId="2EDABD2F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 xml:space="preserve">Отток 30% средств </w:t>
            </w:r>
            <w:proofErr w:type="spellStart"/>
            <w:r w:rsidRPr="007209CB">
              <w:rPr>
                <w:color w:val="000000" w:themeColor="text1"/>
              </w:rPr>
              <w:t>физ.л</w:t>
            </w:r>
            <w:proofErr w:type="spellEnd"/>
            <w:r w:rsidRPr="007209CB">
              <w:rPr>
                <w:color w:val="000000" w:themeColor="text1"/>
              </w:rPr>
              <w:t>.</w:t>
            </w:r>
          </w:p>
        </w:tc>
        <w:tc>
          <w:tcPr>
            <w:tcW w:w="1967" w:type="dxa"/>
            <w:vAlign w:val="center"/>
          </w:tcPr>
          <w:p w14:paraId="18988440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306,18</w:t>
            </w:r>
          </w:p>
        </w:tc>
        <w:tc>
          <w:tcPr>
            <w:tcW w:w="1981" w:type="dxa"/>
            <w:vAlign w:val="center"/>
          </w:tcPr>
          <w:p w14:paraId="2E164C5D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779,80</w:t>
            </w:r>
          </w:p>
        </w:tc>
        <w:tc>
          <w:tcPr>
            <w:tcW w:w="1841" w:type="dxa"/>
            <w:vAlign w:val="center"/>
          </w:tcPr>
          <w:p w14:paraId="287C5FB5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39,26</w:t>
            </w:r>
          </w:p>
        </w:tc>
      </w:tr>
      <w:tr w:rsidR="007209CB" w:rsidRPr="007209CB" w14:paraId="55AA869B" w14:textId="77777777" w:rsidTr="009B1F35">
        <w:tc>
          <w:tcPr>
            <w:tcW w:w="958" w:type="dxa"/>
            <w:vAlign w:val="center"/>
          </w:tcPr>
          <w:p w14:paraId="612CCA22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2</w:t>
            </w:r>
          </w:p>
        </w:tc>
        <w:tc>
          <w:tcPr>
            <w:tcW w:w="2824" w:type="dxa"/>
            <w:vAlign w:val="center"/>
          </w:tcPr>
          <w:p w14:paraId="0E5377B6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 xml:space="preserve">Отток 30% средств </w:t>
            </w:r>
            <w:proofErr w:type="spellStart"/>
            <w:r w:rsidRPr="007209CB">
              <w:rPr>
                <w:color w:val="000000" w:themeColor="text1"/>
              </w:rPr>
              <w:t>юр.л</w:t>
            </w:r>
            <w:proofErr w:type="spellEnd"/>
            <w:r w:rsidRPr="007209CB">
              <w:rPr>
                <w:color w:val="000000" w:themeColor="text1"/>
              </w:rPr>
              <w:t>.</w:t>
            </w:r>
          </w:p>
        </w:tc>
        <w:tc>
          <w:tcPr>
            <w:tcW w:w="1967" w:type="dxa"/>
            <w:vAlign w:val="center"/>
          </w:tcPr>
          <w:p w14:paraId="3324302C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480,89</w:t>
            </w:r>
          </w:p>
        </w:tc>
        <w:tc>
          <w:tcPr>
            <w:tcW w:w="1981" w:type="dxa"/>
            <w:vAlign w:val="center"/>
          </w:tcPr>
          <w:p w14:paraId="0E58E486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1 114,00</w:t>
            </w:r>
          </w:p>
        </w:tc>
        <w:tc>
          <w:tcPr>
            <w:tcW w:w="1841" w:type="dxa"/>
            <w:vAlign w:val="center"/>
          </w:tcPr>
          <w:p w14:paraId="0343A8AC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43,17</w:t>
            </w:r>
          </w:p>
        </w:tc>
      </w:tr>
      <w:tr w:rsidR="007209CB" w:rsidRPr="007209CB" w14:paraId="500ED304" w14:textId="77777777" w:rsidTr="009B1F35">
        <w:tc>
          <w:tcPr>
            <w:tcW w:w="958" w:type="dxa"/>
            <w:vAlign w:val="center"/>
          </w:tcPr>
          <w:p w14:paraId="09FAC407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3</w:t>
            </w:r>
          </w:p>
        </w:tc>
        <w:tc>
          <w:tcPr>
            <w:tcW w:w="2824" w:type="dxa"/>
            <w:vAlign w:val="center"/>
          </w:tcPr>
          <w:p w14:paraId="743EF13E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Рост обязательных резервов и страховых фондов банка на 10%</w:t>
            </w:r>
          </w:p>
        </w:tc>
        <w:tc>
          <w:tcPr>
            <w:tcW w:w="1967" w:type="dxa"/>
            <w:vAlign w:val="center"/>
          </w:tcPr>
          <w:p w14:paraId="2DB9DA46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617,50</w:t>
            </w:r>
          </w:p>
        </w:tc>
        <w:tc>
          <w:tcPr>
            <w:tcW w:w="1981" w:type="dxa"/>
            <w:vAlign w:val="center"/>
          </w:tcPr>
          <w:p w14:paraId="4DF787EB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1 114,00</w:t>
            </w:r>
          </w:p>
        </w:tc>
        <w:tc>
          <w:tcPr>
            <w:tcW w:w="1841" w:type="dxa"/>
            <w:vAlign w:val="center"/>
          </w:tcPr>
          <w:p w14:paraId="2C263011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55,43</w:t>
            </w:r>
          </w:p>
        </w:tc>
      </w:tr>
      <w:tr w:rsidR="007209CB" w:rsidRPr="007209CB" w14:paraId="2FFF2876" w14:textId="77777777" w:rsidTr="009B1F35">
        <w:tc>
          <w:tcPr>
            <w:tcW w:w="958" w:type="dxa"/>
            <w:vAlign w:val="center"/>
          </w:tcPr>
          <w:p w14:paraId="63C22E4C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4</w:t>
            </w:r>
          </w:p>
        </w:tc>
        <w:tc>
          <w:tcPr>
            <w:tcW w:w="2824" w:type="dxa"/>
            <w:vAlign w:val="center"/>
          </w:tcPr>
          <w:p w14:paraId="2B76FE64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Отзыв лицензии у банков корреспондентов</w:t>
            </w:r>
          </w:p>
        </w:tc>
        <w:tc>
          <w:tcPr>
            <w:tcW w:w="1967" w:type="dxa"/>
            <w:vAlign w:val="center"/>
          </w:tcPr>
          <w:p w14:paraId="0F0A0192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465,48</w:t>
            </w:r>
          </w:p>
        </w:tc>
        <w:tc>
          <w:tcPr>
            <w:tcW w:w="1981" w:type="dxa"/>
            <w:vAlign w:val="center"/>
          </w:tcPr>
          <w:p w14:paraId="0DEAFD35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1 114,00</w:t>
            </w:r>
          </w:p>
        </w:tc>
        <w:tc>
          <w:tcPr>
            <w:tcW w:w="1841" w:type="dxa"/>
            <w:vAlign w:val="center"/>
          </w:tcPr>
          <w:p w14:paraId="0B009274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41,78</w:t>
            </w:r>
          </w:p>
        </w:tc>
      </w:tr>
      <w:tr w:rsidR="007209CB" w:rsidRPr="007209CB" w14:paraId="361410E7" w14:textId="77777777" w:rsidTr="009B1F35">
        <w:tc>
          <w:tcPr>
            <w:tcW w:w="958" w:type="dxa"/>
            <w:vAlign w:val="center"/>
          </w:tcPr>
          <w:p w14:paraId="6ABFF2CF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5</w:t>
            </w:r>
          </w:p>
        </w:tc>
        <w:tc>
          <w:tcPr>
            <w:tcW w:w="2824" w:type="dxa"/>
            <w:vAlign w:val="center"/>
          </w:tcPr>
          <w:p w14:paraId="60D2D506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Кумулятивное влияние факторов (1,2,3)</w:t>
            </w:r>
          </w:p>
        </w:tc>
        <w:tc>
          <w:tcPr>
            <w:tcW w:w="1967" w:type="dxa"/>
            <w:vAlign w:val="center"/>
          </w:tcPr>
          <w:p w14:paraId="1343419E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123,81</w:t>
            </w:r>
          </w:p>
        </w:tc>
        <w:tc>
          <w:tcPr>
            <w:tcW w:w="1981" w:type="dxa"/>
            <w:vAlign w:val="center"/>
          </w:tcPr>
          <w:p w14:paraId="1638F63C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779,80</w:t>
            </w:r>
          </w:p>
        </w:tc>
        <w:tc>
          <w:tcPr>
            <w:tcW w:w="1841" w:type="dxa"/>
            <w:vAlign w:val="center"/>
          </w:tcPr>
          <w:p w14:paraId="224B193D" w14:textId="77777777" w:rsidR="007209CB" w:rsidRPr="007209CB" w:rsidRDefault="007209CB" w:rsidP="007209CB">
            <w:pPr>
              <w:spacing w:line="276" w:lineRule="auto"/>
              <w:jc w:val="both"/>
              <w:rPr>
                <w:color w:val="000000" w:themeColor="text1"/>
              </w:rPr>
            </w:pPr>
            <w:r w:rsidRPr="007209CB">
              <w:rPr>
                <w:color w:val="000000" w:themeColor="text1"/>
              </w:rPr>
              <w:t>15,88</w:t>
            </w:r>
          </w:p>
        </w:tc>
      </w:tr>
    </w:tbl>
    <w:p w14:paraId="3AD93C4B" w14:textId="77777777" w:rsidR="007209CB" w:rsidRPr="007209CB" w:rsidRDefault="007209CB" w:rsidP="007209CB">
      <w:pPr>
        <w:spacing w:line="276" w:lineRule="auto"/>
        <w:ind w:firstLine="720"/>
        <w:jc w:val="both"/>
        <w:rPr>
          <w:b/>
          <w:color w:val="000000" w:themeColor="text1"/>
        </w:rPr>
      </w:pPr>
    </w:p>
    <w:p w14:paraId="0F5ED99F" w14:textId="4BF77112" w:rsidR="007209CB" w:rsidRDefault="007209CB" w:rsidP="007209CB">
      <w:pPr>
        <w:spacing w:line="276" w:lineRule="auto"/>
        <w:ind w:firstLine="720"/>
        <w:jc w:val="both"/>
        <w:rPr>
          <w:color w:val="000000" w:themeColor="text1"/>
        </w:rPr>
      </w:pPr>
      <w:r w:rsidRPr="007209CB">
        <w:rPr>
          <w:color w:val="000000" w:themeColor="text1"/>
        </w:rPr>
        <w:lastRenderedPageBreak/>
        <w:t xml:space="preserve">На основании данных, </w:t>
      </w:r>
      <w:r>
        <w:rPr>
          <w:color w:val="000000" w:themeColor="text1"/>
        </w:rPr>
        <w:t xml:space="preserve">указанных в Таблице 1 </w:t>
      </w:r>
      <w:r w:rsidRPr="007209CB">
        <w:rPr>
          <w:color w:val="000000" w:themeColor="text1"/>
        </w:rPr>
        <w:t>можно сделать следующие выводы:</w:t>
      </w:r>
    </w:p>
    <w:p w14:paraId="6010D4EC" w14:textId="44CF5E56" w:rsidR="007209CB" w:rsidRPr="007209CB" w:rsidRDefault="007209CB" w:rsidP="007209CB">
      <w:pPr>
        <w:spacing w:line="276" w:lineRule="auto"/>
        <w:ind w:firstLine="720"/>
        <w:jc w:val="both"/>
        <w:rPr>
          <w:color w:val="000000" w:themeColor="text1"/>
        </w:rPr>
      </w:pPr>
      <w:r w:rsidRPr="007209CB">
        <w:rPr>
          <w:color w:val="000000" w:themeColor="text1"/>
        </w:rPr>
        <w:t xml:space="preserve"> </w:t>
      </w:r>
      <w:r w:rsidRPr="007209CB">
        <w:rPr>
          <w:color w:val="000000" w:themeColor="text1"/>
        </w:rPr>
        <w:t>Основное влияние на показатель ликвидности банка окажет отток средств со счетов физических лиц. Показатель ликвидности снизится с 57,48% до 39,26%. Это свидетельствует о высокой зависимости банка от внешних факторов, которые могут привести к массовому оттоку вкладов населения.</w:t>
      </w:r>
    </w:p>
    <w:p w14:paraId="00C5435F" w14:textId="77777777" w:rsidR="007209CB" w:rsidRPr="007209CB" w:rsidRDefault="007209CB" w:rsidP="007209CB">
      <w:pPr>
        <w:pStyle w:val="a8"/>
        <w:numPr>
          <w:ilvl w:val="0"/>
          <w:numId w:val="8"/>
        </w:numPr>
        <w:spacing w:line="276" w:lineRule="auto"/>
        <w:ind w:left="0" w:firstLine="567"/>
        <w:jc w:val="both"/>
        <w:rPr>
          <w:color w:val="000000" w:themeColor="text1"/>
        </w:rPr>
      </w:pPr>
      <w:r w:rsidRPr="007209CB">
        <w:rPr>
          <w:color w:val="000000" w:themeColor="text1"/>
        </w:rPr>
        <w:t>Также серьезное давление на показатель ликвидности окажет отзыв лицензии у банков корреспондентов (- 15,7% до 41,78%). Во избежание потери ликвидности банку необходимо проводить мониторинг рейтингов кредитоспособности банков корреспондентов.</w:t>
      </w:r>
    </w:p>
    <w:p w14:paraId="2AB63AA0" w14:textId="77777777" w:rsidR="007209CB" w:rsidRPr="007209CB" w:rsidRDefault="007209CB" w:rsidP="007209CB">
      <w:pPr>
        <w:pStyle w:val="a8"/>
        <w:numPr>
          <w:ilvl w:val="0"/>
          <w:numId w:val="8"/>
        </w:numPr>
        <w:spacing w:line="276" w:lineRule="auto"/>
        <w:ind w:left="0" w:firstLine="567"/>
        <w:jc w:val="both"/>
        <w:rPr>
          <w:color w:val="000000" w:themeColor="text1"/>
        </w:rPr>
      </w:pPr>
      <w:r w:rsidRPr="007209CB">
        <w:rPr>
          <w:color w:val="000000" w:themeColor="text1"/>
        </w:rPr>
        <w:t>Кумулятивное влияние факторов окажет катастрофическое влияние на показатель ликвидности и приведет к его снижению на 57,48% до 15,88%. Это означает, что только 15,88</w:t>
      </w:r>
      <w:proofErr w:type="gramStart"/>
      <w:r w:rsidRPr="007209CB">
        <w:rPr>
          <w:color w:val="000000" w:themeColor="text1"/>
        </w:rPr>
        <w:t>%  обязательств</w:t>
      </w:r>
      <w:proofErr w:type="gramEnd"/>
      <w:r w:rsidRPr="007209CB">
        <w:rPr>
          <w:color w:val="000000" w:themeColor="text1"/>
        </w:rPr>
        <w:t xml:space="preserve"> банка по вкладам физических лиц будут обеспечены высоколиквидными активами банка.</w:t>
      </w:r>
    </w:p>
    <w:p w14:paraId="2BF3DEEC" w14:textId="77777777" w:rsidR="007209CB" w:rsidRPr="007209CB" w:rsidRDefault="007209CB" w:rsidP="007209CB">
      <w:pPr>
        <w:spacing w:line="276" w:lineRule="auto"/>
        <w:ind w:firstLine="720"/>
        <w:jc w:val="both"/>
      </w:pPr>
      <w:r w:rsidRPr="007209CB">
        <w:t xml:space="preserve">В результате, целью тестирования является оценка влияния различных факторов риска на характеристики объекта, которым является актив, уровень ликвидности, и определение механизма управления структурой баланса, в результате которого будет наблюдаться тенденция снижения изменчивости рискового портфеля и минимизация и устранение потерь. </w:t>
      </w:r>
      <w:r w:rsidRPr="007209CB">
        <w:rPr>
          <w:rStyle w:val="a7"/>
        </w:rPr>
        <w:footnoteReference w:id="1"/>
      </w:r>
    </w:p>
    <w:p w14:paraId="45BBDE0F" w14:textId="77777777" w:rsidR="007209CB" w:rsidRPr="007209CB" w:rsidRDefault="007209CB" w:rsidP="007209CB">
      <w:pPr>
        <w:spacing w:line="276" w:lineRule="auto"/>
        <w:ind w:firstLine="720"/>
        <w:jc w:val="both"/>
      </w:pPr>
      <w:r w:rsidRPr="007209CB">
        <w:t xml:space="preserve">Конечным результатом тестирования является оценка резервирования необходимого объема ликвидности баланса. Для того, что определить оптимальный объем ликвидных активов следует произвести оценку динамики обязательств юридических и физических лиц.  </w:t>
      </w:r>
    </w:p>
    <w:p w14:paraId="5342D13C" w14:textId="77777777" w:rsidR="007209CB" w:rsidRPr="007209CB" w:rsidRDefault="007209CB" w:rsidP="007209CB">
      <w:pPr>
        <w:spacing w:line="276" w:lineRule="auto"/>
        <w:ind w:firstLine="720"/>
        <w:jc w:val="both"/>
      </w:pPr>
      <w:r w:rsidRPr="007209CB">
        <w:t>Результаты данного анализа позволяют выделить стабильный и нестабильный объем обязательств до востребования, таким образом определяется риск одновременного снятия средств в течение дня.</w:t>
      </w:r>
    </w:p>
    <w:p w14:paraId="4561BC9E" w14:textId="77777777" w:rsidR="007209CB" w:rsidRPr="007209CB" w:rsidRDefault="007209CB" w:rsidP="007209CB">
      <w:pPr>
        <w:spacing w:line="276" w:lineRule="auto"/>
        <w:ind w:firstLine="720"/>
        <w:jc w:val="both"/>
      </w:pPr>
      <w:r w:rsidRPr="007209CB">
        <w:t xml:space="preserve">Таким образом, могут быть выявлены: </w:t>
      </w:r>
    </w:p>
    <w:p w14:paraId="518DE0B9" w14:textId="77777777" w:rsidR="007209CB" w:rsidRPr="007209CB" w:rsidRDefault="007209CB" w:rsidP="007209CB">
      <w:pPr>
        <w:pStyle w:val="a8"/>
        <w:numPr>
          <w:ilvl w:val="0"/>
          <w:numId w:val="10"/>
        </w:numPr>
        <w:spacing w:line="276" w:lineRule="auto"/>
        <w:jc w:val="both"/>
      </w:pPr>
      <w:r w:rsidRPr="007209CB">
        <w:t>абсолютная устойчивость ликвидности банка к реализации риск-факторов (банк остается ликвидным).</w:t>
      </w:r>
    </w:p>
    <w:p w14:paraId="4AF3058E" w14:textId="77777777" w:rsidR="007209CB" w:rsidRPr="007209CB" w:rsidRDefault="007209CB" w:rsidP="007209CB">
      <w:pPr>
        <w:pStyle w:val="a8"/>
        <w:numPr>
          <w:ilvl w:val="0"/>
          <w:numId w:val="10"/>
        </w:numPr>
        <w:spacing w:line="276" w:lineRule="auto"/>
        <w:jc w:val="both"/>
      </w:pPr>
      <w:r w:rsidRPr="007209CB">
        <w:t>абсолютная неустойчивость ликвидности банка к реализации риск-факторов (банк теряет ликвидность).</w:t>
      </w:r>
    </w:p>
    <w:p w14:paraId="6828E516" w14:textId="77777777" w:rsidR="007209CB" w:rsidRPr="007209CB" w:rsidRDefault="007209CB" w:rsidP="007209CB">
      <w:pPr>
        <w:pStyle w:val="a8"/>
        <w:numPr>
          <w:ilvl w:val="0"/>
          <w:numId w:val="10"/>
        </w:numPr>
        <w:spacing w:line="276" w:lineRule="auto"/>
        <w:jc w:val="both"/>
      </w:pPr>
      <w:r w:rsidRPr="007209CB">
        <w:t>промежуточная устойчивость (неустойчивость) ликвидности банка к реализации риск-факторов (по одним сценариям банк сохраняет ликвидность, по другим – нет).</w:t>
      </w:r>
    </w:p>
    <w:p w14:paraId="6EB99EEC" w14:textId="77777777" w:rsidR="007209CB" w:rsidRDefault="007209CB" w:rsidP="00272C55">
      <w:pPr>
        <w:spacing w:before="240" w:line="276" w:lineRule="auto"/>
        <w:jc w:val="center"/>
        <w:rPr>
          <w:b/>
        </w:rPr>
      </w:pPr>
    </w:p>
    <w:p w14:paraId="6212A657" w14:textId="77777777" w:rsidR="007209CB" w:rsidRDefault="007209CB" w:rsidP="00272C55">
      <w:pPr>
        <w:spacing w:before="240" w:line="276" w:lineRule="auto"/>
        <w:jc w:val="center"/>
        <w:rPr>
          <w:b/>
        </w:rPr>
      </w:pPr>
    </w:p>
    <w:p w14:paraId="008432F2" w14:textId="77777777" w:rsidR="007209CB" w:rsidRDefault="007209CB" w:rsidP="00272C55">
      <w:pPr>
        <w:spacing w:before="240" w:line="276" w:lineRule="auto"/>
        <w:jc w:val="center"/>
        <w:rPr>
          <w:b/>
        </w:rPr>
      </w:pPr>
    </w:p>
    <w:p w14:paraId="6AA3317F" w14:textId="77777777" w:rsidR="007209CB" w:rsidRDefault="007209CB" w:rsidP="00272C55">
      <w:pPr>
        <w:spacing w:before="240" w:line="276" w:lineRule="auto"/>
        <w:jc w:val="center"/>
        <w:rPr>
          <w:b/>
        </w:rPr>
      </w:pPr>
    </w:p>
    <w:p w14:paraId="11AECF33" w14:textId="77777777" w:rsidR="007209CB" w:rsidRDefault="007209CB" w:rsidP="00272C55">
      <w:pPr>
        <w:spacing w:before="240" w:line="276" w:lineRule="auto"/>
        <w:jc w:val="center"/>
        <w:rPr>
          <w:b/>
        </w:rPr>
      </w:pPr>
    </w:p>
    <w:p w14:paraId="36DF6EA8" w14:textId="34A4EA5D" w:rsidR="00272C55" w:rsidRPr="00E4380A" w:rsidRDefault="00C65C34" w:rsidP="00272C55">
      <w:pPr>
        <w:spacing w:before="240" w:line="276" w:lineRule="auto"/>
        <w:jc w:val="center"/>
        <w:rPr>
          <w:b/>
        </w:rPr>
      </w:pPr>
      <w:bookmarkStart w:id="0" w:name="_GoBack"/>
      <w:bookmarkEnd w:id="0"/>
      <w:r w:rsidRPr="00E4380A">
        <w:rPr>
          <w:b/>
        </w:rPr>
        <w:lastRenderedPageBreak/>
        <w:t>Список использованных источников</w:t>
      </w:r>
    </w:p>
    <w:p w14:paraId="4D98EE9F" w14:textId="77777777" w:rsidR="00272C55" w:rsidRPr="00272C55" w:rsidRDefault="00272C55" w:rsidP="00272C55">
      <w:pPr>
        <w:numPr>
          <w:ilvl w:val="0"/>
          <w:numId w:val="6"/>
        </w:numPr>
        <w:jc w:val="both"/>
        <w:rPr>
          <w:color w:val="000000"/>
        </w:rPr>
      </w:pPr>
      <w:proofErr w:type="spellStart"/>
      <w:r w:rsidRPr="00272C55">
        <w:rPr>
          <w:color w:val="000000"/>
        </w:rPr>
        <w:t>Астрелина</w:t>
      </w:r>
      <w:proofErr w:type="spellEnd"/>
      <w:r w:rsidRPr="00272C55">
        <w:rPr>
          <w:color w:val="000000"/>
        </w:rPr>
        <w:t xml:space="preserve">, В.В. Оценка деловой репутации банка / В.В. </w:t>
      </w:r>
      <w:proofErr w:type="spellStart"/>
      <w:r w:rsidRPr="00272C55">
        <w:rPr>
          <w:color w:val="000000"/>
        </w:rPr>
        <w:t>Астрелина</w:t>
      </w:r>
      <w:proofErr w:type="spellEnd"/>
      <w:r w:rsidRPr="00272C55">
        <w:rPr>
          <w:color w:val="000000"/>
        </w:rPr>
        <w:t>, П.К. Бондарчук. Москва, 2017 г.-16с.</w:t>
      </w:r>
    </w:p>
    <w:p w14:paraId="7F0723F9" w14:textId="77777777" w:rsidR="00272C55" w:rsidRPr="00272C55" w:rsidRDefault="00272C55" w:rsidP="00272C55">
      <w:pPr>
        <w:numPr>
          <w:ilvl w:val="0"/>
          <w:numId w:val="6"/>
        </w:numPr>
        <w:jc w:val="both"/>
        <w:rPr>
          <w:color w:val="000000"/>
        </w:rPr>
      </w:pPr>
      <w:proofErr w:type="spellStart"/>
      <w:r w:rsidRPr="00272C55">
        <w:rPr>
          <w:color w:val="000000"/>
        </w:rPr>
        <w:t>Астрелина</w:t>
      </w:r>
      <w:proofErr w:type="spellEnd"/>
      <w:r w:rsidRPr="00272C55">
        <w:rPr>
          <w:color w:val="000000"/>
        </w:rPr>
        <w:t>, В.В. Управление ликвидностью в российском коммерческом банке. Москва, 2018 г. – 176 с.</w:t>
      </w:r>
    </w:p>
    <w:p w14:paraId="4FFBFBF8" w14:textId="77777777" w:rsidR="00272C55" w:rsidRPr="00272C55" w:rsidRDefault="00272C55" w:rsidP="00272C55">
      <w:pPr>
        <w:numPr>
          <w:ilvl w:val="0"/>
          <w:numId w:val="6"/>
        </w:numPr>
        <w:jc w:val="both"/>
        <w:rPr>
          <w:color w:val="000000"/>
        </w:rPr>
      </w:pPr>
      <w:r w:rsidRPr="00272C55">
        <w:rPr>
          <w:color w:val="000000"/>
        </w:rPr>
        <w:t>Балабанов, И.Т. Банки и банковское дело. Питер, 2015 г – 256 с.</w:t>
      </w:r>
    </w:p>
    <w:p w14:paraId="10FE4452" w14:textId="77777777" w:rsidR="00272C55" w:rsidRPr="00272C55" w:rsidRDefault="00272C55" w:rsidP="00272C55">
      <w:pPr>
        <w:numPr>
          <w:ilvl w:val="0"/>
          <w:numId w:val="6"/>
        </w:numPr>
        <w:jc w:val="both"/>
        <w:rPr>
          <w:color w:val="000000"/>
        </w:rPr>
      </w:pPr>
      <w:r w:rsidRPr="00272C55">
        <w:rPr>
          <w:color w:val="000000"/>
        </w:rPr>
        <w:t xml:space="preserve"> Банковский менеджмент: учебник под ред. О.И. Лаврушина. – 4-е изд., </w:t>
      </w:r>
      <w:proofErr w:type="spellStart"/>
      <w:r w:rsidRPr="00272C55">
        <w:rPr>
          <w:color w:val="000000"/>
        </w:rPr>
        <w:t>перераб</w:t>
      </w:r>
      <w:proofErr w:type="spellEnd"/>
      <w:r w:rsidRPr="00272C55">
        <w:rPr>
          <w:color w:val="000000"/>
        </w:rPr>
        <w:t>. и доп. – М.: КНОРУС; 2014г – 560 с.</w:t>
      </w:r>
    </w:p>
    <w:p w14:paraId="058FAE7F" w14:textId="77777777" w:rsidR="00272C55" w:rsidRPr="00272C55" w:rsidRDefault="00272C55" w:rsidP="00272C55">
      <w:pPr>
        <w:numPr>
          <w:ilvl w:val="0"/>
          <w:numId w:val="6"/>
        </w:numPr>
        <w:jc w:val="both"/>
        <w:rPr>
          <w:color w:val="000000"/>
        </w:rPr>
      </w:pPr>
      <w:r w:rsidRPr="00272C55">
        <w:rPr>
          <w:color w:val="000000"/>
        </w:rPr>
        <w:t xml:space="preserve"> </w:t>
      </w:r>
      <w:proofErr w:type="spellStart"/>
      <w:r w:rsidRPr="00272C55">
        <w:rPr>
          <w:color w:val="000000"/>
        </w:rPr>
        <w:t>Ворожбит</w:t>
      </w:r>
      <w:proofErr w:type="spellEnd"/>
      <w:r w:rsidRPr="00272C55">
        <w:rPr>
          <w:color w:val="000000"/>
        </w:rPr>
        <w:t xml:space="preserve"> О.Ю. Выявление источников долгосрочных ресурсов как направление повышения ликвидности банковской системы / О.Ю. </w:t>
      </w:r>
      <w:proofErr w:type="spellStart"/>
      <w:r w:rsidRPr="00272C55">
        <w:rPr>
          <w:color w:val="000000"/>
        </w:rPr>
        <w:t>Ворожбит</w:t>
      </w:r>
      <w:proofErr w:type="spellEnd"/>
      <w:r w:rsidRPr="00272C55">
        <w:rPr>
          <w:color w:val="000000"/>
        </w:rPr>
        <w:t>, Н.С. Терентьева // Территория новых возможностей. Вестник Владивостокского государственного университета экономики и сервиса: науч. журнал. – Владивосток: Изд-во ВГУЭС, 2010 г. –133 с.</w:t>
      </w:r>
    </w:p>
    <w:p w14:paraId="7425F428" w14:textId="77777777" w:rsidR="00272C55" w:rsidRPr="00272C55" w:rsidRDefault="00272C55" w:rsidP="00272C55">
      <w:pPr>
        <w:numPr>
          <w:ilvl w:val="0"/>
          <w:numId w:val="6"/>
        </w:numPr>
        <w:jc w:val="both"/>
        <w:rPr>
          <w:color w:val="000000"/>
        </w:rPr>
      </w:pPr>
      <w:r w:rsidRPr="00272C55">
        <w:rPr>
          <w:color w:val="000000"/>
        </w:rPr>
        <w:t xml:space="preserve"> Варламова, Т.П. Финансовый менеджмент: Учебное пособие / Т.П. Варламова, М.А. Варламова. - Москва, 2015 г. - 304 c.</w:t>
      </w:r>
    </w:p>
    <w:p w14:paraId="6F14A14F" w14:textId="19808FF9" w:rsidR="00272C55" w:rsidRPr="00272C55" w:rsidRDefault="00272C55" w:rsidP="00272C55">
      <w:pPr>
        <w:numPr>
          <w:ilvl w:val="0"/>
          <w:numId w:val="6"/>
        </w:numPr>
        <w:jc w:val="both"/>
        <w:rPr>
          <w:color w:val="000000"/>
        </w:rPr>
      </w:pPr>
      <w:r w:rsidRPr="00272C55">
        <w:rPr>
          <w:color w:val="000000"/>
        </w:rPr>
        <w:t xml:space="preserve"> Захарова О.В. Теоретические аспекты проблемы управления ликвидностью коммерческих банков </w:t>
      </w:r>
      <w:r>
        <w:rPr>
          <w:color w:val="000000"/>
        </w:rPr>
        <w:t>// Банковские услуги.</w:t>
      </w:r>
      <w:r w:rsidRPr="00272C55">
        <w:rPr>
          <w:color w:val="000000"/>
        </w:rPr>
        <w:t>2015 г.- 25с.</w:t>
      </w:r>
    </w:p>
    <w:p w14:paraId="39528FCA" w14:textId="77777777" w:rsidR="007102D9" w:rsidRPr="00E4380A" w:rsidRDefault="007102D9"/>
    <w:sectPr w:rsidR="007102D9" w:rsidRPr="00E438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C1A40D" w14:textId="77777777" w:rsidR="006375E7" w:rsidRDefault="006375E7" w:rsidP="00C9397B">
      <w:r>
        <w:separator/>
      </w:r>
    </w:p>
  </w:endnote>
  <w:endnote w:type="continuationSeparator" w:id="0">
    <w:p w14:paraId="38B73CAC" w14:textId="77777777" w:rsidR="006375E7" w:rsidRDefault="006375E7" w:rsidP="00C939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FEFA7A" w14:textId="77777777" w:rsidR="006375E7" w:rsidRDefault="006375E7" w:rsidP="00C9397B">
      <w:r>
        <w:separator/>
      </w:r>
    </w:p>
  </w:footnote>
  <w:footnote w:type="continuationSeparator" w:id="0">
    <w:p w14:paraId="3D45E01D" w14:textId="77777777" w:rsidR="006375E7" w:rsidRDefault="006375E7" w:rsidP="00C9397B">
      <w:r>
        <w:continuationSeparator/>
      </w:r>
    </w:p>
  </w:footnote>
  <w:footnote w:id="1">
    <w:p w14:paraId="03E9684B" w14:textId="77777777" w:rsidR="007209CB" w:rsidRPr="00354577" w:rsidRDefault="007209CB" w:rsidP="007209CB">
      <w:pPr>
        <w:pStyle w:val="a5"/>
      </w:pPr>
      <w:r>
        <w:rPr>
          <w:rStyle w:val="a7"/>
        </w:rPr>
        <w:footnoteRef/>
      </w:r>
      <w:r>
        <w:t xml:space="preserve"> </w:t>
      </w:r>
      <w:r w:rsidRPr="00424DE2">
        <w:t xml:space="preserve">Положение </w:t>
      </w:r>
      <w:r>
        <w:t>ЦБ ПМР от 1 октября 2009 года N 90-П</w:t>
      </w:r>
      <w:r w:rsidRPr="00424DE2">
        <w:t xml:space="preserve"> </w:t>
      </w:r>
      <w:r>
        <w:t>«</w:t>
      </w:r>
      <w:r w:rsidRPr="00424DE2">
        <w:t>О методике анализа деятельности кредитных организаций Приднестровской Молдавской Республики и порядке оценки их фи</w:t>
      </w:r>
      <w:r>
        <w:t>нансового состояния».</w:t>
      </w:r>
    </w:p>
    <w:p w14:paraId="2C52BCEB" w14:textId="77777777" w:rsidR="007209CB" w:rsidRPr="00424DE2" w:rsidRDefault="007209CB" w:rsidP="007209CB">
      <w:pPr>
        <w:pStyle w:val="a5"/>
      </w:pPr>
    </w:p>
    <w:p w14:paraId="7D265BA2" w14:textId="77777777" w:rsidR="007209CB" w:rsidRDefault="007209CB" w:rsidP="007209CB">
      <w:pPr>
        <w:pStyle w:val="a5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66671"/>
    <w:multiLevelType w:val="hybridMultilevel"/>
    <w:tmpl w:val="7AEE99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0958D6"/>
    <w:multiLevelType w:val="hybridMultilevel"/>
    <w:tmpl w:val="95101B4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6E45972"/>
    <w:multiLevelType w:val="hybridMultilevel"/>
    <w:tmpl w:val="377037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4A975A23"/>
    <w:multiLevelType w:val="hybridMultilevel"/>
    <w:tmpl w:val="710AE75C"/>
    <w:lvl w:ilvl="0" w:tplc="6BD425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1C0302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C4A2FC6A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 w:tplc="FA06523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 w:tplc="4C2A5526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 w:tplc="028ACCEE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 w:tplc="7AC090FC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 w:tplc="B2D4E01A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 w:tplc="086461C2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abstractNum w:abstractNumId="4" w15:restartNumberingAfterBreak="0">
    <w:nsid w:val="55E85FA9"/>
    <w:multiLevelType w:val="hybridMultilevel"/>
    <w:tmpl w:val="3DCAD1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124A03"/>
    <w:multiLevelType w:val="hybridMultilevel"/>
    <w:tmpl w:val="404E40F2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90E07EB"/>
    <w:multiLevelType w:val="hybridMultilevel"/>
    <w:tmpl w:val="D9120790"/>
    <w:lvl w:ilvl="0" w:tplc="8E503996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98860B8"/>
    <w:multiLevelType w:val="hybridMultilevel"/>
    <w:tmpl w:val="E1260C7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F301A3C"/>
    <w:multiLevelType w:val="hybridMultilevel"/>
    <w:tmpl w:val="523082E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8"/>
  </w:num>
  <w:num w:numId="9">
    <w:abstractNumId w:val="2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80F"/>
    <w:rsid w:val="000B5757"/>
    <w:rsid w:val="0018656B"/>
    <w:rsid w:val="00272C55"/>
    <w:rsid w:val="002E791D"/>
    <w:rsid w:val="00345F0C"/>
    <w:rsid w:val="003C4A27"/>
    <w:rsid w:val="00421069"/>
    <w:rsid w:val="004409B8"/>
    <w:rsid w:val="00473A6F"/>
    <w:rsid w:val="00505AA0"/>
    <w:rsid w:val="00527DC1"/>
    <w:rsid w:val="00527EA8"/>
    <w:rsid w:val="005563E0"/>
    <w:rsid w:val="0062080F"/>
    <w:rsid w:val="006375E7"/>
    <w:rsid w:val="00644444"/>
    <w:rsid w:val="007102D9"/>
    <w:rsid w:val="007209CB"/>
    <w:rsid w:val="00737FE5"/>
    <w:rsid w:val="007A2CC6"/>
    <w:rsid w:val="007A6535"/>
    <w:rsid w:val="008255A3"/>
    <w:rsid w:val="008732BA"/>
    <w:rsid w:val="008C3FBE"/>
    <w:rsid w:val="00A00086"/>
    <w:rsid w:val="00A5420A"/>
    <w:rsid w:val="00BD17B7"/>
    <w:rsid w:val="00C65C34"/>
    <w:rsid w:val="00C9397B"/>
    <w:rsid w:val="00E4380A"/>
    <w:rsid w:val="00E43A1D"/>
    <w:rsid w:val="00E644D6"/>
    <w:rsid w:val="00F74768"/>
    <w:rsid w:val="00FD3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FC3CBC"/>
  <w15:chartTrackingRefBased/>
  <w15:docId w15:val="{C62BBFC3-DDD7-489D-B93A-4746D1ACD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5C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C65C34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3"/>
    <w:rsid w:val="00C65C34"/>
    <w:pPr>
      <w:shd w:val="clear" w:color="auto" w:fill="FFFFFF"/>
      <w:spacing w:before="1260" w:after="3840" w:line="0" w:lineRule="atLeast"/>
      <w:jc w:val="center"/>
    </w:pPr>
    <w:rPr>
      <w:sz w:val="21"/>
      <w:szCs w:val="21"/>
      <w:lang w:eastAsia="en-US"/>
    </w:rPr>
  </w:style>
  <w:style w:type="character" w:customStyle="1" w:styleId="85pt0pt">
    <w:name w:val="Основной текст + 8;5 pt;Полужирный;Интервал 0 pt"/>
    <w:basedOn w:val="a3"/>
    <w:rsid w:val="00C65C34"/>
    <w:rPr>
      <w:rFonts w:ascii="Sylfaen" w:eastAsia="Sylfaen" w:hAnsi="Sylfaen" w:cs="Sylfaen"/>
      <w:b/>
      <w:bCs/>
      <w:i w:val="0"/>
      <w:iCs w:val="0"/>
      <w:smallCaps w:val="0"/>
      <w:strike w:val="0"/>
      <w:color w:val="000000"/>
      <w:spacing w:val="-6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7pt0pt">
    <w:name w:val="Основной текст + 7 pt;Интервал 0 pt"/>
    <w:basedOn w:val="a3"/>
    <w:rsid w:val="00C65C34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4"/>
      <w:szCs w:val="14"/>
      <w:u w:val="none"/>
      <w:shd w:val="clear" w:color="auto" w:fill="FFFFFF"/>
      <w:lang w:val="ru-RU"/>
    </w:rPr>
  </w:style>
  <w:style w:type="character" w:styleId="a4">
    <w:name w:val="Hyperlink"/>
    <w:basedOn w:val="a0"/>
    <w:uiPriority w:val="99"/>
    <w:unhideWhenUsed/>
    <w:rsid w:val="00C9397B"/>
    <w:rPr>
      <w:color w:val="0000FF"/>
      <w:u w:val="single"/>
    </w:rPr>
  </w:style>
  <w:style w:type="paragraph" w:styleId="a5">
    <w:name w:val="footnote text"/>
    <w:basedOn w:val="a"/>
    <w:link w:val="a6"/>
    <w:uiPriority w:val="99"/>
    <w:semiHidden/>
    <w:rsid w:val="00C9397B"/>
    <w:pPr>
      <w:ind w:firstLine="709"/>
      <w:jc w:val="both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C9397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C9397B"/>
    <w:rPr>
      <w:vertAlign w:val="superscript"/>
    </w:rPr>
  </w:style>
  <w:style w:type="paragraph" w:styleId="a8">
    <w:name w:val="List Paragraph"/>
    <w:basedOn w:val="a"/>
    <w:uiPriority w:val="34"/>
    <w:qFormat/>
    <w:rsid w:val="00C9397B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345F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45F0C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345F0C"/>
  </w:style>
  <w:style w:type="table" w:styleId="a9">
    <w:name w:val="Table Grid"/>
    <w:basedOn w:val="a1"/>
    <w:uiPriority w:val="59"/>
    <w:rsid w:val="003C4A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7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4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0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0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6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6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6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0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04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6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1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de.osu.ru/courses2/course85/glossary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1214</TotalTime>
  <Pages>4</Pages>
  <Words>1136</Words>
  <Characters>6481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Raiter Alina</dc:creator>
  <cp:keywords/>
  <dc:description/>
  <cp:lastModifiedBy>нелли нелли</cp:lastModifiedBy>
  <cp:revision>15</cp:revision>
  <dcterms:created xsi:type="dcterms:W3CDTF">2022-10-31T13:03:00Z</dcterms:created>
  <dcterms:modified xsi:type="dcterms:W3CDTF">2023-01-12T18:26:00Z</dcterms:modified>
</cp:coreProperties>
</file>