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8CE049" w14:textId="5CE9AEB1" w:rsidR="00BF4229" w:rsidRPr="00336B5B" w:rsidRDefault="00BF4229" w:rsidP="00336B5B">
      <w:pPr>
        <w:spacing w:after="0"/>
        <w:jc w:val="center"/>
        <w:rPr>
          <w:rFonts w:ascii="Times New Roman" w:hAnsi="Times New Roman" w:cs="Times New Roman"/>
          <w:sz w:val="36"/>
          <w:szCs w:val="52"/>
        </w:rPr>
      </w:pPr>
      <w:r w:rsidRPr="00336B5B">
        <w:rPr>
          <w:rFonts w:ascii="Times New Roman" w:hAnsi="Times New Roman" w:cs="Times New Roman"/>
          <w:sz w:val="36"/>
          <w:szCs w:val="52"/>
        </w:rPr>
        <w:t>Консультация для педагогов</w:t>
      </w:r>
    </w:p>
    <w:p w14:paraId="31A2629D" w14:textId="77777777" w:rsidR="00336B5B" w:rsidRDefault="00BF4229" w:rsidP="00336B5B">
      <w:pPr>
        <w:spacing w:after="0"/>
        <w:jc w:val="center"/>
        <w:rPr>
          <w:rFonts w:ascii="Times New Roman" w:hAnsi="Times New Roman" w:cs="Times New Roman"/>
          <w:sz w:val="36"/>
          <w:szCs w:val="52"/>
        </w:rPr>
      </w:pPr>
      <w:r w:rsidRPr="00336B5B">
        <w:rPr>
          <w:rFonts w:ascii="Times New Roman" w:hAnsi="Times New Roman" w:cs="Times New Roman"/>
          <w:sz w:val="36"/>
          <w:szCs w:val="52"/>
        </w:rPr>
        <w:t>«Созда</w:t>
      </w:r>
      <w:r w:rsidR="00336B5B">
        <w:rPr>
          <w:rFonts w:ascii="Times New Roman" w:hAnsi="Times New Roman" w:cs="Times New Roman"/>
          <w:sz w:val="36"/>
          <w:szCs w:val="52"/>
        </w:rPr>
        <w:t>ние предметно-развивающей среды</w:t>
      </w:r>
    </w:p>
    <w:p w14:paraId="1F6108C8" w14:textId="3DADE5E5" w:rsidR="00BF4229" w:rsidRPr="00336B5B" w:rsidRDefault="00BF4229" w:rsidP="00336B5B">
      <w:pPr>
        <w:spacing w:after="0"/>
        <w:jc w:val="center"/>
        <w:rPr>
          <w:rFonts w:ascii="Times New Roman" w:hAnsi="Times New Roman" w:cs="Times New Roman"/>
          <w:sz w:val="36"/>
          <w:szCs w:val="52"/>
        </w:rPr>
      </w:pPr>
      <w:r w:rsidRPr="00336B5B">
        <w:rPr>
          <w:rFonts w:ascii="Times New Roman" w:hAnsi="Times New Roman" w:cs="Times New Roman"/>
          <w:sz w:val="36"/>
          <w:szCs w:val="52"/>
        </w:rPr>
        <w:t xml:space="preserve">в группах для </w:t>
      </w:r>
      <w:proofErr w:type="gramStart"/>
      <w:r w:rsidRPr="00336B5B">
        <w:rPr>
          <w:rFonts w:ascii="Times New Roman" w:hAnsi="Times New Roman" w:cs="Times New Roman"/>
          <w:sz w:val="36"/>
          <w:szCs w:val="52"/>
        </w:rPr>
        <w:t>речевого</w:t>
      </w:r>
      <w:proofErr w:type="gramEnd"/>
    </w:p>
    <w:p w14:paraId="7184F7DB" w14:textId="0BDFAF9E" w:rsidR="00BF4229" w:rsidRPr="00336B5B" w:rsidRDefault="00BF4229" w:rsidP="00336B5B">
      <w:pPr>
        <w:spacing w:after="0"/>
        <w:jc w:val="center"/>
        <w:rPr>
          <w:rFonts w:ascii="Times New Roman" w:hAnsi="Times New Roman" w:cs="Times New Roman"/>
          <w:sz w:val="36"/>
          <w:szCs w:val="52"/>
        </w:rPr>
      </w:pPr>
      <w:r w:rsidRPr="00336B5B">
        <w:rPr>
          <w:rFonts w:ascii="Times New Roman" w:hAnsi="Times New Roman" w:cs="Times New Roman"/>
          <w:sz w:val="36"/>
          <w:szCs w:val="52"/>
        </w:rPr>
        <w:t>развития дошкольников»</w:t>
      </w:r>
    </w:p>
    <w:p w14:paraId="15257444" w14:textId="51427E37" w:rsidR="00BF4229" w:rsidRPr="00336B5B" w:rsidRDefault="00BF4229" w:rsidP="00336B5B">
      <w:pPr>
        <w:spacing w:after="0"/>
        <w:jc w:val="center"/>
        <w:rPr>
          <w:rFonts w:ascii="Times New Roman" w:hAnsi="Times New Roman" w:cs="Times New Roman"/>
          <w:sz w:val="18"/>
          <w:szCs w:val="28"/>
        </w:rPr>
      </w:pPr>
    </w:p>
    <w:p w14:paraId="20D98F10" w14:textId="26AC0649" w:rsidR="00A2180A" w:rsidRPr="00A2180A" w:rsidRDefault="00336B5B" w:rsidP="00A2180A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В</w:t>
      </w:r>
      <w:r w:rsidR="00A2180A" w:rsidRPr="00A2180A">
        <w:rPr>
          <w:rFonts w:ascii="Times New Roman" w:hAnsi="Times New Roman" w:cs="Times New Roman"/>
          <w:sz w:val="28"/>
          <w:szCs w:val="28"/>
        </w:rPr>
        <w:t>опрос организации предметно-развивающей среды ДОУ на сегодняшний день стоит особо актуально. Это связано с введением нового  федерального государственного   образовательного стандарта  (ФГОС) к структуре основной общеобразовательной программы дошкольного образования.</w:t>
      </w:r>
    </w:p>
    <w:p w14:paraId="4B405B6E" w14:textId="0D0290FA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A2180A">
        <w:rPr>
          <w:rFonts w:ascii="Times New Roman" w:hAnsi="Times New Roman" w:cs="Times New Roman"/>
          <w:sz w:val="28"/>
          <w:szCs w:val="28"/>
        </w:rPr>
        <w:t>В соответствии с ФГОС программа должна строиться с учетом принципа интеграции образовательных областей  в соответствии с возрастными возможностями и особенностями воспитанников. Решение программных образовательных задач предусматривается не только в совместной деятельности взрослого и детей, но и в самостоятельной деятельности детей, а также при проведении режимных моментов.</w:t>
      </w:r>
    </w:p>
    <w:p w14:paraId="4C2AE986" w14:textId="7C86E8C2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A2180A">
        <w:rPr>
          <w:rFonts w:ascii="Times New Roman" w:hAnsi="Times New Roman" w:cs="Times New Roman"/>
          <w:sz w:val="28"/>
          <w:szCs w:val="28"/>
        </w:rPr>
        <w:t>Как известно, основной формой работы с дошкольниками и ведущим видом деятельности детей является игра. Именно поэтому педагоги-практики испытывают повышенный интерес к обновлению предметно-развивающей среды ДОУ.</w:t>
      </w:r>
    </w:p>
    <w:p w14:paraId="2EB08981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Требования ФГОС к  предметн</w:t>
      </w:r>
      <w:proofErr w:type="gramStart"/>
      <w:r w:rsidRPr="00A2180A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A2180A">
        <w:rPr>
          <w:rFonts w:ascii="Times New Roman" w:hAnsi="Times New Roman" w:cs="Times New Roman"/>
          <w:sz w:val="28"/>
          <w:szCs w:val="28"/>
        </w:rPr>
        <w:t xml:space="preserve"> развивающей среде:</w:t>
      </w:r>
    </w:p>
    <w:p w14:paraId="6E87736D" w14:textId="6E1F148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A2180A">
        <w:rPr>
          <w:rFonts w:ascii="Times New Roman" w:hAnsi="Times New Roman" w:cs="Times New Roman"/>
          <w:sz w:val="28"/>
          <w:szCs w:val="28"/>
        </w:rPr>
        <w:t>Предметно-развивающая среда обеспечивает максимальную реализацию образовательного потенциала.</w:t>
      </w:r>
    </w:p>
    <w:p w14:paraId="6032D8B4" w14:textId="77777777" w:rsid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Доступность среды, что предполагает доступность для воспитанников всех помещений организации, где осуществляется образовательный процесс; свободный доступ воспитанников к играм, игрушкам, материалам, пособиям, обеспечивающих все основные виды деятельности.</w:t>
      </w:r>
    </w:p>
    <w:p w14:paraId="62FCC9E0" w14:textId="1EFD3D2C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A2180A">
        <w:rPr>
          <w:rFonts w:ascii="Times New Roman" w:hAnsi="Times New Roman" w:cs="Times New Roman"/>
          <w:sz w:val="28"/>
          <w:szCs w:val="28"/>
        </w:rPr>
        <w:t>Хорошая речь — важнейшее условие всестороннего полноценного развития детей. Чем богаче и правильнее у ребенка речь, тем легче ему высказывать свои мысли, тем шире его возможности в познании окружающей действительности, содержательнее и полноценнее отношения со сверстниками и взрослыми, тем активнее осуществляется его психическое развитие. Поэтому мы заботимся о своевременном формировании речи детей, о ее чистоте и правильности, предупреждая и исправляя различные нарушения, которыми считаются любые отклонения от общепринятых норм русского языка.</w:t>
      </w:r>
    </w:p>
    <w:p w14:paraId="4571D0B7" w14:textId="77777777" w:rsid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A2180A">
        <w:rPr>
          <w:rFonts w:ascii="Times New Roman" w:hAnsi="Times New Roman" w:cs="Times New Roman"/>
          <w:sz w:val="28"/>
          <w:szCs w:val="28"/>
        </w:rPr>
        <w:t xml:space="preserve">Любое нарушение речи в той или иной степени может отразиться на деятельности и поведении ребенка. Дети плохо говорящие, начиная </w:t>
      </w:r>
      <w:r w:rsidRPr="00A2180A">
        <w:rPr>
          <w:rFonts w:ascii="Times New Roman" w:hAnsi="Times New Roman" w:cs="Times New Roman"/>
          <w:sz w:val="28"/>
          <w:szCs w:val="28"/>
        </w:rPr>
        <w:lastRenderedPageBreak/>
        <w:t>осознавать свой недостаток, становятся молчаливыми, застенчивыми, нерешительными. Особенно важное значение имеет правильное, четкое произношение детьми звуков речи и слов в период обучения грамоте, так как письменная речь формируется на основе устной и недостатки устной речи могут привести к неуспеваемости.</w:t>
      </w:r>
    </w:p>
    <w:p w14:paraId="02704862" w14:textId="23BA844A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Уже давно доказано, что на развитие ребенка-дошкольника большое влияние оказывает окружающее пространство, его наполняемость. Педагоги, работающие с детьми-логопатами, давно пришли к выводу, что речевые уголки должны быть в группах, должны привлекать к себе внимание детей, желание играть именно в данном отведенном пространстве.</w:t>
      </w:r>
    </w:p>
    <w:p w14:paraId="0D52C0F1" w14:textId="3A60E169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2180A">
        <w:rPr>
          <w:rFonts w:ascii="Times New Roman" w:hAnsi="Times New Roman" w:cs="Times New Roman"/>
          <w:sz w:val="28"/>
          <w:szCs w:val="28"/>
        </w:rPr>
        <w:t>Речевая развивающая среда – это особым образом организованное окружение, наиболее эффективно влияющее на развитие разных сторон речи каждого ребенка.</w:t>
      </w:r>
    </w:p>
    <w:p w14:paraId="094362D0" w14:textId="6BFA9513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A2180A">
        <w:rPr>
          <w:rFonts w:ascii="Times New Roman" w:hAnsi="Times New Roman" w:cs="Times New Roman"/>
          <w:sz w:val="28"/>
          <w:szCs w:val="28"/>
        </w:rPr>
        <w:t>Цель построения речевой развивающей среды – насыщение окружающей среды компонентами, обеспечивающими развитие речи ребенка дошкольного возраста.</w:t>
      </w:r>
    </w:p>
    <w:p w14:paraId="2062E5EB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Задачи построения речевой развивающей среды:</w:t>
      </w:r>
    </w:p>
    <w:p w14:paraId="67DF3946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обеспечение возможности восприятия и наблюдения за правильной речью;</w:t>
      </w:r>
    </w:p>
    <w:p w14:paraId="79A515DB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обеспечение богатства сенсорных представлений;</w:t>
      </w:r>
    </w:p>
    <w:p w14:paraId="4D44742F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обеспечение возможности самостоятельной индивидуальной речевой деятельности ребенка;</w:t>
      </w:r>
    </w:p>
    <w:p w14:paraId="562A1234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обеспечение комфортного состояния ребенка в проявлении речевых реакций;</w:t>
      </w:r>
    </w:p>
    <w:p w14:paraId="27093AA5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обеспечение возможности исследования и экспериментирования в языковой системе.</w:t>
      </w:r>
    </w:p>
    <w:p w14:paraId="281B990B" w14:textId="09BC7C50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РРС (речевая развивающая среда Компоненты): речь педагога, методы и приемы, оборудование.</w:t>
      </w:r>
    </w:p>
    <w:p w14:paraId="1A640D7F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Наполнение речевой развивающей среды определяется приоритетной линией речевого развития детей каждого возраста.</w:t>
      </w:r>
    </w:p>
    <w:p w14:paraId="74CB1A3F" w14:textId="0735D93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2180A">
        <w:rPr>
          <w:rFonts w:ascii="Times New Roman" w:hAnsi="Times New Roman" w:cs="Times New Roman"/>
          <w:sz w:val="28"/>
          <w:szCs w:val="28"/>
          <w:u w:val="single"/>
        </w:rPr>
        <w:t>РРС 2-й младшей группы:</w:t>
      </w:r>
    </w:p>
    <w:p w14:paraId="52591E85" w14:textId="37DAC841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2180A">
        <w:rPr>
          <w:rFonts w:ascii="Times New Roman" w:hAnsi="Times New Roman" w:cs="Times New Roman"/>
          <w:sz w:val="28"/>
          <w:szCs w:val="28"/>
        </w:rPr>
        <w:t>Грамотная, педагогически целесообразная речь педагога;</w:t>
      </w:r>
    </w:p>
    <w:p w14:paraId="3FF4A9E3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Методы и приемы, направленные на развитие речи как средства общения (поручения, подсказ, образец обращения, образец взаимодействия посредством речи в разных видах деятельности);</w:t>
      </w:r>
    </w:p>
    <w:p w14:paraId="28262D94" w14:textId="5F414512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Методы и приемы, направленные на формирование умения слушать и слышать (разговоры, чтение, рассказы, звуки речи,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2180A">
        <w:rPr>
          <w:rFonts w:ascii="Times New Roman" w:hAnsi="Times New Roman" w:cs="Times New Roman"/>
          <w:sz w:val="28"/>
          <w:szCs w:val="28"/>
        </w:rPr>
        <w:t>слова);</w:t>
      </w:r>
    </w:p>
    <w:p w14:paraId="5BAF3E83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lastRenderedPageBreak/>
        <w:t>Организация «уголка интересных вещей» (стимулирование самостоятельного рассматривания картинок, игрушек, книг, предметов для развития инициативной речи, обогащения и уточнения представлений детей об окружающем).</w:t>
      </w:r>
    </w:p>
    <w:p w14:paraId="6CFE06D2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  <w:u w:val="single"/>
        </w:rPr>
      </w:pPr>
      <w:r w:rsidRPr="00A2180A">
        <w:rPr>
          <w:rFonts w:ascii="Times New Roman" w:hAnsi="Times New Roman" w:cs="Times New Roman"/>
          <w:sz w:val="28"/>
          <w:szCs w:val="28"/>
          <w:u w:val="single"/>
        </w:rPr>
        <w:t>РРС средней группы:</w:t>
      </w:r>
    </w:p>
    <w:p w14:paraId="2B31AA85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удовлетворение потребности в получении и обсуждении информации, формирование навыков общения со сверстниками, знакомство с формулами речевого этикета;</w:t>
      </w:r>
    </w:p>
    <w:p w14:paraId="2B678117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выслушивание детей, уточнение ответов, подсказ, рассказы воспитателя – акцент на стимулирование познавательного интереса;</w:t>
      </w:r>
    </w:p>
    <w:p w14:paraId="3CD021DA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речевой уголок (наборы картинок, фотографий, открыток, лупы, магниты и др. для развития объяснительной речи).</w:t>
      </w:r>
    </w:p>
    <w:p w14:paraId="17AF8183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  <w:u w:val="single"/>
        </w:rPr>
        <w:t>РРС старшей и подготовительной групп</w:t>
      </w:r>
      <w:r w:rsidRPr="00A2180A">
        <w:rPr>
          <w:rFonts w:ascii="Times New Roman" w:hAnsi="Times New Roman" w:cs="Times New Roman"/>
          <w:sz w:val="28"/>
          <w:szCs w:val="28"/>
        </w:rPr>
        <w:t>:</w:t>
      </w:r>
    </w:p>
    <w:p w14:paraId="2F6C65B5" w14:textId="6603AD1C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2180A">
        <w:rPr>
          <w:rFonts w:ascii="Times New Roman" w:hAnsi="Times New Roman" w:cs="Times New Roman"/>
          <w:sz w:val="28"/>
          <w:szCs w:val="28"/>
        </w:rPr>
        <w:t>знакомство с формулами речевого этикета, целенаправленное формирование всех групп диалогических умений, умений грамотного отстаивания своей точки зрения;</w:t>
      </w:r>
    </w:p>
    <w:p w14:paraId="6C869C5B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поощрение рассказов детей, трансформация высказываний в связные рассказы, запись и повторение рассказов, уточнения, обобщения;</w:t>
      </w:r>
    </w:p>
    <w:p w14:paraId="03293377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пополнение уголка – акцент на расширении представлений детей о многообразии окружающего мира, организация восприятия с последующим обсуждением.</w:t>
      </w:r>
    </w:p>
    <w:p w14:paraId="5EA81EFD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Создание индивидуального «авторского речевого пространства» каждого ребенка.</w:t>
      </w:r>
    </w:p>
    <w:p w14:paraId="72B9CA0B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При организации речевого центра необходимо соблюдать следующие требования:</w:t>
      </w:r>
    </w:p>
    <w:p w14:paraId="5C88FBAF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</w:p>
    <w:p w14:paraId="0E2C53CD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Необходимым атрибутом речевого уголка является зеркало (индивидуальные зеркала), игровой, дидактический, наглядный материал.</w:t>
      </w:r>
    </w:p>
    <w:p w14:paraId="5597902D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Дидактическое оснащение должно соответствовать возрасту детей.</w:t>
      </w:r>
    </w:p>
    <w:p w14:paraId="3282EABC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Наглядный, дидактический материал в речевом уголке меняется, согласно лексической теме.</w:t>
      </w:r>
    </w:p>
    <w:p w14:paraId="637406B6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Речевой уголок желательно разместить рядом с книжным уголком.</w:t>
      </w:r>
    </w:p>
    <w:p w14:paraId="75325AD7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Оформление уголка должно быть эстетичным, привлекательным для детей, вызывать стремление к самостоятельной деятельности.</w:t>
      </w:r>
    </w:p>
    <w:p w14:paraId="27D3EB6F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lastRenderedPageBreak/>
        <w:t>Игровой материал должен быть доступным для ребенка.</w:t>
      </w:r>
    </w:p>
    <w:p w14:paraId="07FBC896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Не следует перегружать уголок оборудованием.</w:t>
      </w:r>
    </w:p>
    <w:p w14:paraId="614ACC00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Неотъемлемым атрибутом речевого уголка должна быть игрушка – “одушевленный персонаж”, который помогает решать такие важные коррекционные задачи, как преодоление неуверенности, стеснительность, достижение эмоциональной устойчивости, саморегуляции, вызывать у детей речевой интерес, побуждать к речевой активности.</w:t>
      </w:r>
    </w:p>
    <w:p w14:paraId="0D810DF8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Зона речевого развития должна соответствовать общему оформлению группы.</w:t>
      </w:r>
    </w:p>
    <w:p w14:paraId="2B01A123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Ей можно придумать название, например, «Учимся говорить правильно», или просто выделить место. В её оформлении необходимо проявить индивидуальность, творчество, чтобы детям хотелось пользоваться представленными материалами и пособиями. Например, её героем может стать добрый гном, который будет учить правильно говорить, или кукла с большим язычком, будет показывать артикуляционную гимнастику, и наоборот, иностранец или инопланетянин, которого дети научат красиво говорить на русском языке.</w:t>
      </w:r>
    </w:p>
    <w:p w14:paraId="788F7E79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Наполнение речевого уголка должно отражать все направления работы по развитию речи:</w:t>
      </w:r>
    </w:p>
    <w:p w14:paraId="33F3E217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</w:p>
    <w:p w14:paraId="2E356931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развитие словаря ребёнка;</w:t>
      </w:r>
    </w:p>
    <w:p w14:paraId="521158A9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формирование грамматически правильной речи (обучение различным способам словообразования, словоизменения, правильному согласованию слов в предложении, построению разных типов предложений и сочетанию их в связном тексте);</w:t>
      </w:r>
    </w:p>
    <w:p w14:paraId="7E833FC1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развитие связной речи (составление описательных и творческих рассказов, пересказы, описание картин и предметов, работа с загадками, пословицами и поговорками, стихами)</w:t>
      </w:r>
    </w:p>
    <w:p w14:paraId="0C31D2B1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воспитание звуковой культуры речи (совершенствование речевого дыхания, развитие слухового внимания и фонематического слуха, закрепление в речи чистого звукопроизношения)</w:t>
      </w:r>
    </w:p>
    <w:p w14:paraId="6E6C8247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подготовка к обучению и обучение грамоте (знакомство со звукобуквенным анализом и синтезом, деление слов на слоги, анализ предложения)</w:t>
      </w:r>
    </w:p>
    <w:p w14:paraId="53CEBD8D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 xml:space="preserve">развитие мелкой моторики и </w:t>
      </w:r>
      <w:proofErr w:type="spellStart"/>
      <w:r w:rsidRPr="00A2180A">
        <w:rPr>
          <w:rFonts w:ascii="Times New Roman" w:hAnsi="Times New Roman" w:cs="Times New Roman"/>
          <w:sz w:val="28"/>
          <w:szCs w:val="28"/>
        </w:rPr>
        <w:t>графомоторной</w:t>
      </w:r>
      <w:proofErr w:type="spellEnd"/>
      <w:r w:rsidRPr="00A2180A">
        <w:rPr>
          <w:rFonts w:ascii="Times New Roman" w:hAnsi="Times New Roman" w:cs="Times New Roman"/>
          <w:sz w:val="28"/>
          <w:szCs w:val="28"/>
        </w:rPr>
        <w:t xml:space="preserve"> функции</w:t>
      </w:r>
    </w:p>
    <w:p w14:paraId="3D4AA975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знакомство с художественной литературой (можно выделить отдельно в книжный уголок)</w:t>
      </w:r>
    </w:p>
    <w:p w14:paraId="7453C22C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lastRenderedPageBreak/>
        <w:t>Примерное оборудование и наполнение речевой зоны:</w:t>
      </w:r>
    </w:p>
    <w:p w14:paraId="4C4CF590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</w:p>
    <w:p w14:paraId="3F757E96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Закрепление правильного речевого выдоха</w:t>
      </w:r>
    </w:p>
    <w:p w14:paraId="19862234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«Листочки», «Бабочки», «Волшебный пушок», лабиринты, разноцветные шарики, султанчики, бумажные снежинки, вертушки, колокольчики из фольги на ниточке. «Чей кораблик доберется быстрее», «Загони мяч в ворота» и др.</w:t>
      </w:r>
    </w:p>
    <w:p w14:paraId="6ADC6921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Формирование фонематического восприятия и слуха</w:t>
      </w:r>
    </w:p>
    <w:p w14:paraId="24BA0C8E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 xml:space="preserve">Шумовые инструменты, звуковые коробочки; детские музыкальные инструменты: рояль, гармошка, барабаны, дудочка, бубен, трещотка, колокольчики, погремушки;  картинки для вызывания звуков (Картинки-символы) и их автоматизации; игры с парными карточками (звуки: Р-Л, </w:t>
      </w:r>
      <w:proofErr w:type="spellStart"/>
      <w:r w:rsidRPr="00A2180A">
        <w:rPr>
          <w:rFonts w:ascii="Times New Roman" w:hAnsi="Times New Roman" w:cs="Times New Roman"/>
          <w:sz w:val="28"/>
          <w:szCs w:val="28"/>
        </w:rPr>
        <w:t>Рь</w:t>
      </w:r>
      <w:proofErr w:type="spellEnd"/>
      <w:r w:rsidRPr="00A2180A">
        <w:rPr>
          <w:rFonts w:ascii="Times New Roman" w:hAnsi="Times New Roman" w:cs="Times New Roman"/>
          <w:sz w:val="28"/>
          <w:szCs w:val="28"/>
        </w:rPr>
        <w:t>-Ль, С-Ш, З-Ж, Щ-</w:t>
      </w:r>
      <w:proofErr w:type="spellStart"/>
      <w:r w:rsidRPr="00A2180A">
        <w:rPr>
          <w:rFonts w:ascii="Times New Roman" w:hAnsi="Times New Roman" w:cs="Times New Roman"/>
          <w:sz w:val="28"/>
          <w:szCs w:val="28"/>
        </w:rPr>
        <w:t>Сь</w:t>
      </w:r>
      <w:proofErr w:type="spellEnd"/>
      <w:r w:rsidRPr="00A2180A">
        <w:rPr>
          <w:rFonts w:ascii="Times New Roman" w:hAnsi="Times New Roman" w:cs="Times New Roman"/>
          <w:sz w:val="28"/>
          <w:szCs w:val="28"/>
        </w:rPr>
        <w:t>, Ч-</w:t>
      </w:r>
      <w:proofErr w:type="spellStart"/>
      <w:r w:rsidRPr="00A2180A">
        <w:rPr>
          <w:rFonts w:ascii="Times New Roman" w:hAnsi="Times New Roman" w:cs="Times New Roman"/>
          <w:sz w:val="28"/>
          <w:szCs w:val="28"/>
        </w:rPr>
        <w:t>Ть</w:t>
      </w:r>
      <w:proofErr w:type="spellEnd"/>
      <w:r w:rsidRPr="00A2180A">
        <w:rPr>
          <w:rFonts w:ascii="Times New Roman" w:hAnsi="Times New Roman" w:cs="Times New Roman"/>
          <w:sz w:val="28"/>
          <w:szCs w:val="28"/>
        </w:rPr>
        <w:t>); домики для твердых и мягких звуков, индивидуальные пособия для звукобуквенного анализа; звуковые дорожки, звуковая лесенка. «Найди себе пару», «Найди, что звучит», «Разложи картинки», «Повтори, не ошибись», «Тихо-громко», «Общий звук», «Придумай слова со звуком», «Испорченный телефон», «Звуковые символы» и др.</w:t>
      </w:r>
    </w:p>
    <w:p w14:paraId="108056EA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</w:p>
    <w:p w14:paraId="269312BF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Развитие артикуляционной моторики</w:t>
      </w:r>
    </w:p>
    <w:p w14:paraId="7342E4A7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Артикуляционная гимнастика в стихах и картинках, альбомы с артикуляционной гимнастикой для вызывания определенного звука, схема для характеристики звука. «Веселая гимнастика»;</w:t>
      </w:r>
    </w:p>
    <w:p w14:paraId="18E1242D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Закрепление навыков правильного звукопроизношения поставленных звуков (изолированно, в слогах, словах, предложениях, связной речи). Мелкие игрушки, предметные картинки на звуки; сюжетные картинки; альбомы на каждый звук; логопедические альбомы для автоматизации различных звуков, чистоговорки, стихи, потешки, скороговорки, тексты; схема слова; зеркала в ассортименте, Лото на звуки С, 3, Ц, Ш, Ж, Ч, Щ, Р, Л, «Логопедическое лото», «Звуки, я вас различаю (Р-Л) и т.п.</w:t>
      </w:r>
    </w:p>
    <w:p w14:paraId="103588C0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Закрепление навыков, полученных на занятиях по обучению грамоте</w:t>
      </w:r>
    </w:p>
    <w:p w14:paraId="70CBDC47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 xml:space="preserve">Магнитная доска; наборы магнитных букв; таблицы Зайцева,  кассы букв и слогов; символы для звуко – буквенного анализа, кубики «Азбука в картинках», «Учись читать», «Умные кубики», «Слоговые кубики» и т.д.; альбом «Изучаем буквы»; пособие «Говорящая азбука»; «Чтение по слогам», «Читаем с подсказками», книжки-малышки и др. «Научись читать», «Я учу </w:t>
      </w:r>
      <w:r w:rsidRPr="00A2180A">
        <w:rPr>
          <w:rFonts w:ascii="Times New Roman" w:hAnsi="Times New Roman" w:cs="Times New Roman"/>
          <w:sz w:val="28"/>
          <w:szCs w:val="28"/>
        </w:rPr>
        <w:lastRenderedPageBreak/>
        <w:t>буквы», «Найди букву», «Готов ли ты к школе? », «Слоговое лото», «Найди место звука в слове», «Прочитай по первым звукам»,  ребусы и др.</w:t>
      </w:r>
    </w:p>
    <w:p w14:paraId="57CE8847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</w:p>
    <w:p w14:paraId="294EE8A1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Активизация словаря, обобщающих понятий и лексико-грамматических категорий</w:t>
      </w:r>
    </w:p>
    <w:p w14:paraId="533F4459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Предметные картинки по лексическим темам. Лексико-грамматические игры «Назови одним словом», «Большие и маленькие», «Один-много», «Чего нет?», «В мире животных» и другие (см. серию «Самые нужные игры» в интернет-магазине «</w:t>
      </w:r>
      <w:proofErr w:type="spellStart"/>
      <w:r w:rsidRPr="00A2180A">
        <w:rPr>
          <w:rFonts w:ascii="Times New Roman" w:hAnsi="Times New Roman" w:cs="Times New Roman"/>
          <w:sz w:val="28"/>
          <w:szCs w:val="28"/>
        </w:rPr>
        <w:t>Лабиринт.ру</w:t>
      </w:r>
      <w:proofErr w:type="spellEnd"/>
      <w:r w:rsidRPr="00A2180A">
        <w:rPr>
          <w:rFonts w:ascii="Times New Roman" w:hAnsi="Times New Roman" w:cs="Times New Roman"/>
          <w:sz w:val="28"/>
          <w:szCs w:val="28"/>
        </w:rPr>
        <w:t>»)</w:t>
      </w:r>
    </w:p>
    <w:p w14:paraId="3D2DFEB2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</w:p>
    <w:p w14:paraId="2890CFE0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Развитие связной речи</w:t>
      </w:r>
    </w:p>
    <w:p w14:paraId="56839CB7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Серии сюжетных картинок «Истории в картинках», стихи, потешки, пословицы, поговорки; библиотека детских книг, различные виды театров и др.</w:t>
      </w:r>
    </w:p>
    <w:p w14:paraId="121FF83E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</w:p>
    <w:p w14:paraId="6F831B3E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Развитие мелкой моторики</w:t>
      </w:r>
    </w:p>
    <w:p w14:paraId="13B9069F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>Сухой бассейн, массажные мячики, прищепки, трафареты; пальчиковые игры (схемы-памятки); «Мир твоих фантазий» (различный материал для составления букв). Игры на штриховку, «Рисуем по клеточкам», мозаики, игры-шнуровки и др.</w:t>
      </w:r>
    </w:p>
    <w:p w14:paraId="3C3FC739" w14:textId="77777777" w:rsidR="00A2180A" w:rsidRPr="00A2180A" w:rsidRDefault="00A2180A" w:rsidP="00A2180A">
      <w:pPr>
        <w:rPr>
          <w:rFonts w:ascii="Times New Roman" w:hAnsi="Times New Roman" w:cs="Times New Roman"/>
          <w:sz w:val="28"/>
          <w:szCs w:val="28"/>
        </w:rPr>
      </w:pPr>
    </w:p>
    <w:p w14:paraId="242E148E" w14:textId="75CA97CA" w:rsidR="000A25CD" w:rsidRPr="00BF4229" w:rsidRDefault="00A2180A" w:rsidP="00A2180A">
      <w:pPr>
        <w:rPr>
          <w:rFonts w:ascii="Times New Roman" w:hAnsi="Times New Roman" w:cs="Times New Roman"/>
          <w:sz w:val="28"/>
          <w:szCs w:val="28"/>
        </w:rPr>
      </w:pPr>
      <w:r w:rsidRPr="00A2180A">
        <w:rPr>
          <w:rFonts w:ascii="Times New Roman" w:hAnsi="Times New Roman" w:cs="Times New Roman"/>
          <w:sz w:val="28"/>
          <w:szCs w:val="28"/>
        </w:rPr>
        <w:t xml:space="preserve">Развитие познавательно – речевых способностей у детей является одной из главных задач дошкольного образования. Решение этих задач невозможно без создания современной предметно–развивающей среды. Организация   «Предметно–развивающей  среды» в детском саду повышает  эффективность  воспитательного воздействия, направленного  на формирование у детей  </w:t>
      </w:r>
      <w:r w:rsidRPr="00BF4229">
        <w:rPr>
          <w:rFonts w:ascii="Times New Roman" w:hAnsi="Times New Roman" w:cs="Times New Roman"/>
          <w:sz w:val="28"/>
          <w:szCs w:val="28"/>
        </w:rPr>
        <w:t>активного познавательного  отношения к окружающему миру предметов, людей, природы.</w:t>
      </w:r>
    </w:p>
    <w:sectPr w:rsidR="000A25CD" w:rsidRPr="00BF42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180A"/>
    <w:rsid w:val="000A25CD"/>
    <w:rsid w:val="00336B5B"/>
    <w:rsid w:val="00A2180A"/>
    <w:rsid w:val="00BF4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D777C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1629</Words>
  <Characters>9290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Маргарита Кочеткова</dc:creator>
  <cp:lastModifiedBy>пк</cp:lastModifiedBy>
  <cp:revision>2</cp:revision>
  <dcterms:created xsi:type="dcterms:W3CDTF">2025-03-16T12:14:00Z</dcterms:created>
  <dcterms:modified xsi:type="dcterms:W3CDTF">2025-03-16T12:14:00Z</dcterms:modified>
</cp:coreProperties>
</file>