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numbering.xml" ContentType="application/vnd.openxmlformats-officedocument.wordprocessingml.numbering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>
      <w:pPr>
        <w:pStyle w:val="1"/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 xml:space="preserve">Технологическая карта урока </w:t>
      </w:r>
    </w:p>
    <w:p>
      <w:pPr>
        <w:pStyle w:val="1"/>
        <w:numPr>
          <w:ilvl w:val="0"/>
          <w:numId w:val="1"/>
        </w:numPr>
        <w:rPr>
          <w:rStyle w:val="Absatz-Standardschriftart"/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Педагогическое обоснование урока</w:t>
      </w:r>
      <w:r>
        <w:rPr>
          <w:rStyle w:val="Absatz-Standardschriftart"/>
          <w:rFonts w:ascii="Times New Roman" w:eastAsia="Times New Roman" w:hAnsi="Times New Roman"/>
          <w:b/>
          <w:color w:val="000000"/>
          <w:sz w:val="24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4"/>
        <w:gridCol w:w="12092"/>
      </w:tblGrid>
      <w:tr>
        <w:trPr/>
        <w:tc>
          <w:tcPr>
            <w:tcW w:w="3524" w:type="dxa"/>
          </w:tcPr>
          <w:p>
            <w:pPr>
              <w:pStyle w:val="1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Предмет, класс</w:t>
            </w:r>
          </w:p>
        </w:tc>
        <w:tc>
          <w:tcPr>
            <w:tcW w:w="12092" w:type="dxa"/>
          </w:tcPr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Английский язык, </w:t>
            </w:r>
            <w:r>
              <w:rPr>
                <w:lang w:val="en-US"/>
                <w:rFonts w:ascii="Times New Roman" w:eastAsia="Times New Roman" w:hAnsi="Times New Roman"/>
                <w:color w:val="000000"/>
                <w:sz w:val="24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класс</w:t>
            </w:r>
          </w:p>
        </w:tc>
      </w:tr>
      <w:tr>
        <w:trPr/>
        <w:tc>
          <w:tcPr>
            <w:tcW w:w="3524" w:type="dxa"/>
          </w:tcPr>
          <w:p>
            <w:pPr>
              <w:pStyle w:val="1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Тема</w:t>
            </w:r>
          </w:p>
        </w:tc>
        <w:tc>
          <w:tcPr>
            <w:tcW w:w="12092" w:type="dxa"/>
          </w:tcPr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rtl w:val="off"/>
              </w:rPr>
              <w:t>Travelling. Путешествие</w:t>
            </w:r>
          </w:p>
        </w:tc>
      </w:tr>
      <w:tr>
        <w:trPr/>
        <w:tc>
          <w:tcPr>
            <w:tcW w:w="3524" w:type="dxa"/>
          </w:tcPr>
          <w:p>
            <w:pPr>
              <w:pStyle w:val="1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rtl w:val="off"/>
              </w:rPr>
              <w:t>Место урока в учебной программе</w:t>
            </w:r>
          </w:p>
        </w:tc>
        <w:tc>
          <w:tcPr>
            <w:tcW w:w="12092" w:type="dxa"/>
          </w:tcPr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  <w:rtl w:val="o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rtl w:val="off"/>
              </w:rPr>
              <w:t>Раздел 7 Урок 6</w:t>
            </w:r>
          </w:p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</w:tr>
      <w:tr>
        <w:trPr/>
        <w:tc>
          <w:tcPr>
            <w:tcW w:w="3524" w:type="dxa"/>
          </w:tcPr>
          <w:p>
            <w:pPr>
              <w:pStyle w:val="1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rtl w:val="off"/>
              </w:rPr>
              <w:t>Характеристика урока</w:t>
            </w:r>
          </w:p>
        </w:tc>
        <w:tc>
          <w:tcPr>
            <w:tcW w:w="12092" w:type="dxa"/>
          </w:tcPr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  <w:rtl w:val="o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rtl w:val="off"/>
              </w:rPr>
              <w:t>Актуальный, деятельностный, творческий</w:t>
            </w:r>
          </w:p>
        </w:tc>
      </w:tr>
      <w:tr>
        <w:trPr/>
        <w:tc>
          <w:tcPr>
            <w:tcW w:w="3524" w:type="dxa"/>
            <w:vAlign w:val="center"/>
          </w:tcPr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Тип учебного занятия</w:t>
            </w:r>
          </w:p>
        </w:tc>
        <w:tc>
          <w:tcPr>
            <w:tcW w:w="12092" w:type="dxa"/>
            <w:vAlign w:val="center"/>
          </w:tcPr>
          <w:p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совершенствование знаний, умений и навыков</w:t>
            </w:r>
            <w:r>
              <w:rPr>
                <w:rFonts w:ascii="Times New Roman" w:eastAsia="Times New Roman" w:hAnsi="Times New Roman" w:cs="Times New Roman"/>
                <w:color w:val="000000"/>
                <w:rtl w:val="off"/>
              </w:rPr>
              <w:t xml:space="preserve"> по теме в различных видах учебной деятельности</w:t>
            </w:r>
          </w:p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</w:tr>
      <w:tr>
        <w:trPr/>
        <w:tc>
          <w:tcPr>
            <w:tcW w:w="3524" w:type="dxa"/>
            <w:vAlign w:val="center"/>
          </w:tcPr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Дидактическая цель</w:t>
            </w:r>
          </w:p>
        </w:tc>
        <w:tc>
          <w:tcPr>
            <w:tcW w:w="12092" w:type="dxa"/>
            <w:vAlign w:val="center"/>
          </w:tcPr>
          <w:p>
            <w:pPr>
              <w:shd w:val="clear" w:color="auto" w:fill="FFFFFF"/>
              <w:spacing w:line="240" w:lineRule="auto"/>
              <w:rPr>
                <w:rFonts w:ascii="Times New Roman" w:eastAsia="Times New Roman" w:hAnsi="Times New Roman" w:hint="default"/>
                <w:color w:val="000000"/>
              </w:rPr>
            </w:pPr>
            <w:r>
              <w:rPr>
                <w:rFonts w:ascii="Times New Roman" w:eastAsia="Times New Roman" w:hAnsi="Times New Roman" w:hint="default"/>
                <w:color w:val="000000"/>
                <w:rtl w:val="off"/>
              </w:rPr>
              <w:t>“Развитие иноязычной коммуникативной компетенции в совокупности ее составляющих”</w:t>
            </w:r>
          </w:p>
          <w:p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>
        <w:trPr>
          <w:trHeight w:val="1935" w:hRule="atLeast"/>
        </w:trPr>
        <w:tc>
          <w:tcPr>
            <w:tcW w:w="3524" w:type="dxa"/>
          </w:tcPr>
          <w:p>
            <w:pPr>
              <w:pStyle w:val="1"/>
              <w:snapToGrid w:val="0"/>
              <w:rPr>
                <w:rFonts w:ascii="Times New Roman" w:eastAsia="Times New Roman" w:hAnsi="Times New Roman"/>
                <w:color w:val="000000"/>
                <w:sz w:val="24"/>
              </w:rPr>
            </w:pPr>
            <w:bookmarkStart w:id="1" w:name="_Hlk187312093"/>
            <w:bookmarkStart w:id="2" w:name="_Hlk187312130"/>
            <w:r>
              <w:rPr>
                <w:rFonts w:ascii="Times New Roman" w:eastAsia="Times New Roman" w:hAnsi="Times New Roman"/>
                <w:color w:val="000000"/>
                <w:sz w:val="24"/>
              </w:rPr>
              <w:t>Планируемые результаты</w:t>
            </w:r>
            <w:bookmarkEnd w:id="1"/>
          </w:p>
          <w:p>
            <w:pPr>
              <w:pStyle w:val="1"/>
              <w:snapToGrid w:val="0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12092" w:type="dxa"/>
          </w:tcPr>
          <w:p>
            <w:pPr>
              <w:pStyle w:val="1"/>
              <w:ind w:left="317" w:hanging="283"/>
              <w:snapToGrid w:val="0"/>
              <w:rPr>
                <w:rFonts w:ascii="Times New Roman" w:eastAsia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Предметные результаты</w:t>
            </w:r>
          </w:p>
          <w:p>
            <w:pPr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2"/>
              </w:numPr>
              <w:spacing w:after="18" w:line="349" w:lineRule="atLeast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>Выполнять задания по усвоенному образцу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 xml:space="preserve"> с использованием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 xml:space="preserve"> речевы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>х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 xml:space="preserve"> клише, включая составление 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>простых и развернутых высказываний;</w:t>
            </w:r>
          </w:p>
          <w:p>
            <w:pPr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2"/>
              </w:numPr>
              <w:spacing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 xml:space="preserve">Употреблять в устной 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>и письменной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 xml:space="preserve"> речи лексические единицы и речевые структуры по теме урока.</w:t>
            </w:r>
          </w:p>
          <w:p>
            <w:pPr>
              <w:pStyle w:val="1"/>
              <w:rPr>
                <w:rFonts w:ascii="Times New Roman" w:eastAsia="Times New Roman" w:hAnsi="Times New Roman"/>
                <w:b/>
                <w:color w:val="000000"/>
                <w:sz w:val="24"/>
                <w:rtl w:val="off"/>
              </w:rPr>
            </w:pPr>
          </w:p>
          <w:p>
            <w:pPr>
              <w:pStyle w:val="1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Метапредметные результаты</w:t>
            </w:r>
          </w:p>
          <w:p>
            <w:pPr>
              <w:ind w:right="63"/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3"/>
              </w:numPr>
              <w:spacing w:after="136"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>Определять общую цель и пути ее достижения</w:t>
            </w:r>
          </w:p>
          <w:p>
            <w:pPr>
              <w:ind w:right="63"/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3"/>
              </w:numPr>
              <w:spacing w:after="136"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hd w:val="clear" w:color="auto" w:fill="FFFFFF"/>
              </w:rPr>
              <w:t>Строить речевые высказывания с опорой на картинки, схемы</w:t>
            </w:r>
          </w:p>
          <w:p>
            <w:pPr>
              <w:ind w:right="63"/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3"/>
              </w:numPr>
              <w:spacing w:line="317" w:lineRule="atLeast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>Осуществлять взаимный контроль в совместной деятельности, адекватно оценивать собственное поведение и поведение окружающих; </w:t>
            </w:r>
          </w:p>
          <w:p>
            <w:pPr>
              <w:ind w:right="63"/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3"/>
              </w:numPr>
              <w:spacing w:line="317" w:lineRule="atLeast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>Освоить начальные формы познавательной и личностной рефлексии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 xml:space="preserve"> и самооценки</w:t>
            </w:r>
          </w:p>
          <w:p>
            <w:pPr>
              <w:rPr>
                <w:rFonts w:ascii="Times New Roman" w:eastAsia="Times New Roman" w:hAnsi="Times New Roman"/>
                <w:color w:val="000000"/>
                <w:sz w:val="24"/>
              </w:rPr>
            </w:pPr>
          </w:p>
          <w:p>
            <w:pPr>
              <w:pStyle w:val="1"/>
              <w:rPr>
                <w:rFonts w:ascii="Times New Roman" w:eastAsia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Личностные результаты </w:t>
            </w:r>
          </w:p>
          <w:p>
            <w:pPr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3"/>
              </w:numPr>
              <w:spacing w:after="138"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 xml:space="preserve">Проявлять 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 xml:space="preserve">практический 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>интерес к изучению иностранного языка</w:t>
            </w:r>
          </w:p>
          <w:p>
            <w:pPr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3"/>
              </w:numPr>
              <w:spacing w:after="136"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>Осваивать роль ученика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>-сотрудника в процессе личностного взаимодействия</w:t>
            </w:r>
          </w:p>
          <w:p>
            <w:pPr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3"/>
              </w:numPr>
              <w:spacing w:after="136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>научиться решать поставленные задачи с получением оптимального результата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 xml:space="preserve"> в разных социальных ситуациях</w:t>
            </w:r>
          </w:p>
        </w:tc>
      </w:tr>
      <w:bookmarkEnd w:id="2"/>
      <w:tr>
        <w:trPr/>
        <w:tc>
          <w:tcPr>
            <w:tcW w:w="3524" w:type="dxa"/>
          </w:tcPr>
          <w:p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Структура занятия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ab/>
            </w:r>
          </w:p>
        </w:tc>
        <w:tc>
          <w:tcPr>
            <w:tcW w:w="12092" w:type="dxa"/>
          </w:tcPr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rtl w:val="o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rtl w:val="off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rtl w:val="o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rtl w:val="off"/>
              </w:rPr>
              <w:t>оргмомент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rtl w:val="o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rtl w:val="off"/>
              </w:rPr>
              <w:t>(1. Приветствие 2.Определение и формулирование цели урока);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rtl w:val="off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rtl w:val="off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8"/>
                <w:szCs w:val="28"/>
                <w:rtl w:val="off"/>
              </w:rPr>
              <w:t>фонетическая зарядка (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rtl w:val="off"/>
              </w:rPr>
              <w:t>для повторения сформированных знаний, умений, навыков);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rtl w:val="off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8"/>
                <w:szCs w:val="28"/>
                <w:rtl w:val="off"/>
              </w:rPr>
              <w:t xml:space="preserve">речевая зарядка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>(для введения учащихся в ситуацию общения);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rtl w:val="o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8"/>
                <w:szCs w:val="28"/>
                <w:rtl w:val="off"/>
              </w:rPr>
              <w:t>первичное обобщение лексического материала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rtl w:val="o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>(для включения мыслительной активности  учащихся) по микротемам: 1.Средства передвижения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                                                  2.Чемодан путешественника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  <w:t>-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/>
                <w:iCs/>
                <w:color w:val="000000"/>
                <w:sz w:val="24"/>
                <w:szCs w:val="24"/>
                <w:rtl w:val="o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8"/>
                <w:szCs w:val="28"/>
                <w:rtl w:val="off"/>
              </w:rPr>
              <w:t>Тренировочные упражнения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rtl w:val="off"/>
              </w:rPr>
              <w:t xml:space="preserve"> с использованием таких опор как: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rtl w:val="off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>образец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    алгоритм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    инструкция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    рекомендация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8"/>
                <w:szCs w:val="28"/>
                <w:rtl w:val="off"/>
              </w:rPr>
              <w:t xml:space="preserve">Первичное закрепление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(смысловая группировка по микротемам: 1.Средства передвижения 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                                                                                                                                    ( 1.сильный спикер от группы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                                                                                                                                      2.слабый спикер от группы)      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                                                                                                                                 2.Чемодан путешественника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                                                                                                                                     ( 1.сильный спикер от группы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                                                                                                                                      2.слабый спикер от группы)   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color w:val="000000"/>
                <w:rtl w:val="off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rtl w:val="off"/>
              </w:rPr>
              <w:t>Работа с текстом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rtl w:val="off"/>
              </w:rPr>
              <w:t xml:space="preserve"> (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>поиск языковых реалий и смысловых уровней)</w:t>
            </w:r>
          </w:p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8"/>
                <w:szCs w:val="28"/>
                <w:rtl w:val="off"/>
              </w:rPr>
              <w:t xml:space="preserve">Проверка задания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>(выбор предложений, отвечающих реализации поставленной цели - “ Советы путешественнику”)</w:t>
            </w:r>
          </w:p>
          <w:p>
            <w:pP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000000"/>
                <w:sz w:val="24"/>
                <w:szCs w:val="24"/>
                <w:rtl w:val="off"/>
              </w:rPr>
            </w:pPr>
          </w:p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</w:pPr>
          </w:p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</w:pPr>
          </w:p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  <w:t xml:space="preserve">- Домашнее задание: Составить ПАМЯТКУ для друга - любителя путешествий </w:t>
            </w:r>
          </w:p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  <w:t>- Итог урока (Учитель: Рациональное+ Эмоциональное )</w:t>
            </w:r>
          </w:p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  <w:t>- Самооценка для развития регулятивных и коммуникативных УУД (Рациональное)</w:t>
            </w:r>
          </w:p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  <w:t>- Рефлексия (Эмоциональное)</w:t>
            </w:r>
          </w:p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</w:pPr>
          </w:p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rtl w:val="off"/>
              </w:rPr>
            </w:pPr>
          </w:p>
          <w:p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rtl w:val="off"/>
              </w:rPr>
              <w:t xml:space="preserve">                                        </w:t>
            </w:r>
          </w:p>
        </w:tc>
      </w:tr>
      <w:tr>
        <w:trPr/>
        <w:tc>
          <w:tcPr>
            <w:tcW w:w="3524" w:type="dxa"/>
          </w:tcPr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rtl w:val="off"/>
              </w:rPr>
              <w:t>Использованные  ресурсы и источники</w:t>
            </w:r>
          </w:p>
          <w:p>
            <w:pPr>
              <w:pStyle w:val="1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  <w:p>
            <w:pPr>
              <w:pStyle w:val="1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12092" w:type="dxa"/>
          </w:tcPr>
          <w:p>
            <w:pPr>
              <w:widowControl/>
              <w:suppressAutoHyphens w:val="off"/>
              <w:suppressAutoHyphens w:val="off"/>
              <w:numPr>
                <w:ilvl w:val="0"/>
                <w:numId w:val="4"/>
              </w:numPr>
              <w:spacing w:line="240" w:lineRule="auto"/>
              <w:rPr>
                <w:rFonts w:ascii="Times New Roman" w:eastAsia="Times New Roman" w:hAnsi="Times New Roman" w:cs="Times New Roman"/>
                <w:color w:val="000000"/>
                <w:rtl w:val="off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 xml:space="preserve">УМК Английский в фокусе. Spotlight.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Автор</w:t>
            </w:r>
            <w:r>
              <w:rPr>
                <w:rFonts w:ascii="Times New Roman" w:eastAsia="Times New Roman" w:hAnsi="Times New Roman" w:cs="Times New Roman"/>
                <w:color w:val="000000"/>
                <w:rtl w:val="off"/>
              </w:rPr>
              <w:t xml:space="preserve">ы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: 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color w:val="000000"/>
              </w:rPr>
              <w:instrText xml:space="preserve"> HYPERLINK "https://www.labirint.ru/authors/41622/" </w:instrText>
            </w:r>
            <w:r>
              <w:rPr>
                <w:rFonts w:ascii="Times New Roman" w:eastAsia="Times New Roman" w:hAnsi="Times New Roman" w:cs="Times New Roman"/>
                <w:color w:val="000000"/>
              </w:rPr>
              <w:fldChar w:fldCharType="separate"/>
            </w:r>
            <w:r>
              <w:rPr>
                <w:rStyle w:val="afa"/>
                <w:rFonts w:ascii="Times New Roman" w:eastAsia="Times New Roman" w:hAnsi="Times New Roman" w:cs="Times New Roman"/>
                <w:color w:val="000000"/>
              </w:rPr>
              <w:t>Быкова Надежда Ильинична</w:t>
            </w:r>
            <w:r>
              <w:rPr>
                <w:rStyle w:val="afa"/>
                <w:rFonts w:ascii="Times New Roman" w:eastAsia="Times New Roman" w:hAnsi="Times New Roman" w:cs="Times New Roman"/>
                <w:color w:val="000000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color w:val="000000"/>
              </w:rPr>
              <w:t>, 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color w:val="000000"/>
              </w:rPr>
              <w:instrText xml:space="preserve"> HYPERLINK "https://www.labirint.ru/authors/19612/" </w:instrText>
            </w:r>
            <w:r>
              <w:rPr>
                <w:rFonts w:ascii="Times New Roman" w:eastAsia="Times New Roman" w:hAnsi="Times New Roman" w:cs="Times New Roman"/>
                <w:color w:val="000000"/>
              </w:rPr>
              <w:fldChar w:fldCharType="separate"/>
            </w:r>
            <w:r>
              <w:rPr>
                <w:rStyle w:val="afa"/>
                <w:rFonts w:ascii="Times New Roman" w:eastAsia="Times New Roman" w:hAnsi="Times New Roman" w:cs="Times New Roman"/>
                <w:color w:val="000000"/>
              </w:rPr>
              <w:t xml:space="preserve">Дули </w:t>
            </w:r>
            <w:r>
              <w:rPr>
                <w:rStyle w:val="afa"/>
                <w:rFonts w:ascii="Times New Roman" w:eastAsia="Times New Roman" w:hAnsi="Times New Roman" w:cs="Times New Roman"/>
                <w:color w:val="000000"/>
                <w:rtl w:val="off"/>
              </w:rPr>
              <w:t>Д</w:t>
            </w:r>
            <w:r>
              <w:rPr>
                <w:rStyle w:val="afa"/>
                <w:rFonts w:ascii="Times New Roman" w:eastAsia="Times New Roman" w:hAnsi="Times New Roman" w:cs="Times New Roman"/>
                <w:color w:val="000000"/>
              </w:rPr>
              <w:t>женни</w:t>
            </w:r>
            <w:r>
              <w:rPr>
                <w:rStyle w:val="afa"/>
                <w:rFonts w:ascii="Times New Roman" w:eastAsia="Times New Roman" w:hAnsi="Times New Roman" w:cs="Times New Roman"/>
                <w:color w:val="000000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color w:val="000000"/>
              </w:rPr>
              <w:t>, 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color w:val="000000"/>
              </w:rPr>
              <w:instrText xml:space="preserve"> HYPERLINK "https://www.labirint.ru/authors/41655/" </w:instrText>
            </w:r>
            <w:r>
              <w:rPr>
                <w:rFonts w:ascii="Times New Roman" w:eastAsia="Times New Roman" w:hAnsi="Times New Roman" w:cs="Times New Roman"/>
                <w:color w:val="000000"/>
              </w:rPr>
              <w:fldChar w:fldCharType="separate"/>
            </w:r>
            <w:r>
              <w:rPr>
                <w:rStyle w:val="afa"/>
                <w:rFonts w:ascii="Times New Roman" w:eastAsia="Times New Roman" w:hAnsi="Times New Roman" w:cs="Times New Roman"/>
                <w:color w:val="000000"/>
              </w:rPr>
              <w:t>Поспелова Марина Давидовна</w:t>
            </w:r>
            <w:r>
              <w:rPr>
                <w:rStyle w:val="afa"/>
                <w:rFonts w:ascii="Times New Roman" w:eastAsia="Times New Roman" w:hAnsi="Times New Roman" w:cs="Times New Roman"/>
                <w:color w:val="000000"/>
              </w:rPr>
              <w:fldChar w:fldCharType="end"/>
            </w:r>
          </w:p>
          <w:p>
            <w:pPr>
              <w:widowControl/>
              <w:suppressAutoHyphens w:val="off"/>
              <w:suppressAutoHyphens w:val="off"/>
              <w:numPr>
                <w:ilvl w:val="0"/>
                <w:numId w:val="4"/>
              </w:numPr>
              <w:spacing w:line="240" w:lineRule="auto"/>
              <w:rPr>
                <w:rFonts w:ascii="Times New Roman" w:eastAsia="Times New Roman" w:hAnsi="Times New Roman" w:cs="Times New Roman"/>
                <w:color w:val="000000"/>
                <w:rtl w:val="o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rtl w:val="off"/>
              </w:rPr>
              <w:t>Интернетресурсы</w:t>
            </w:r>
          </w:p>
          <w:p>
            <w:pPr>
              <w:widowControl/>
              <w:suppressAutoHyphens w:val="off"/>
              <w:suppressAutoHyphens w:val="off"/>
              <w:numPr>
                <w:ilvl w:val="0"/>
                <w:numId w:val="4"/>
              </w:numPr>
              <w:spacing w:line="240" w:lineRule="auto"/>
              <w:rPr>
                <w:rFonts w:ascii="Times New Roman" w:eastAsia="Times New Roman" w:hAnsi="Times New Roman" w:cs="Times New Roman"/>
                <w:color w:val="000000"/>
                <w:rtl w:val="o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rtl w:val="off"/>
              </w:rPr>
              <w:t>Учебные программы</w:t>
            </w:r>
          </w:p>
          <w:p>
            <w:pPr>
              <w:widowControl/>
              <w:suppressAutoHyphens w:val="off"/>
              <w:suppressAutoHyphens w:val="off"/>
              <w:numPr>
                <w:ilvl w:val="0"/>
                <w:numId w:val="4"/>
              </w:num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</w:tr>
      <w:tr>
        <w:trPr/>
        <w:tc>
          <w:tcPr>
            <w:tcW w:w="3524" w:type="dxa"/>
          </w:tcPr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Организация пространства</w:t>
            </w:r>
          </w:p>
          <w:p>
            <w:pPr>
              <w:pStyle w:val="1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12092" w:type="dxa"/>
          </w:tcPr>
          <w:p>
            <w:pPr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2"/>
              </w:numPr>
              <w:spacing w:after="134"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rtl w:val="off"/>
              </w:rPr>
              <w:t>Презентация учебного материала на экране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>;</w:t>
            </w:r>
          </w:p>
          <w:p>
            <w:pPr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2"/>
              </w:numPr>
              <w:spacing w:after="134"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>Видеоматериалы;</w:t>
            </w:r>
          </w:p>
          <w:p>
            <w:pPr>
              <w:widowControl/>
              <w:suppressAutoHyphens w:val="off"/>
              <w:suppressAutoHyphens w:val="off"/>
              <w:shd w:val="clear" w:color="auto" w:fill="FFFFFF"/>
              <w:numPr>
                <w:ilvl w:val="0"/>
                <w:numId w:val="2"/>
              </w:numPr>
              <w:spacing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  <w:t>Раздаточный материал</w:t>
            </w: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>;</w:t>
            </w:r>
          </w:p>
          <w:p>
            <w:pPr>
              <w:widowControl/>
              <w:suppressAutoHyphens w:val="off"/>
              <w:suppressAutoHyphens w:val="off"/>
              <w:numPr>
                <w:ilvl w:val="0"/>
                <w:numId w:val="4"/>
              </w:numPr>
              <w:spacing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>Зрительные опоры;</w:t>
            </w:r>
          </w:p>
          <w:p>
            <w:pPr>
              <w:widowControl/>
              <w:suppressAutoHyphens w:val="off"/>
              <w:suppressAutoHyphens w:val="off"/>
              <w:numPr>
                <w:ilvl w:val="0"/>
                <w:numId w:val="4"/>
              </w:numPr>
              <w:spacing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>Справочные материалы;</w:t>
            </w:r>
          </w:p>
          <w:p>
            <w:pPr>
              <w:widowControl/>
              <w:suppressAutoHyphens w:val="off"/>
              <w:suppressAutoHyphens w:val="off"/>
              <w:numPr>
                <w:ilvl w:val="0"/>
                <w:numId w:val="4"/>
              </w:numPr>
              <w:spacing w:line="240" w:lineRule="auto"/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</w:rPr>
            </w:pPr>
            <w:r>
              <w:rPr>
                <w:lang w:eastAsia="ru-RU" w:bidi="ar-SA"/>
                <w:rFonts w:ascii="Times New Roman" w:eastAsia="Times New Roman" w:hAnsi="Times New Roman" w:cs="Times New Roman"/>
                <w:color w:val="000000"/>
                <w:kern w:val="0"/>
                <w:rtl w:val="off"/>
              </w:rPr>
              <w:t>Рабочие листы для учащихся.</w:t>
            </w:r>
          </w:p>
          <w:p>
            <w:pPr>
              <w:pStyle w:val="1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</w:tr>
      <w:tr>
        <w:tc>
          <w:tcPr>
            <w:tcW w:w="3524" w:type="dxa"/>
          </w:tcPr>
          <w:p>
            <w:pPr>
              <w:pStyle w:val="1"/>
              <w:snapToGrid w:val="0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rtl w:val="off"/>
              </w:rPr>
              <w:t>Организация речевой деятельности учащихся</w:t>
            </w:r>
          </w:p>
        </w:tc>
        <w:tc>
          <w:tcPr>
            <w:tcW w:w="12092" w:type="dxa"/>
          </w:tcPr>
          <w:p>
            <w:pPr>
              <w:pStyle w:val="1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hd w:val="clear" w:color="auto" w:fill="FFFFFF"/>
              </w:rPr>
              <w:t>Фронтальная, индивидуальная, работа в парах</w:t>
            </w:r>
            <w:r>
              <w:rPr>
                <w:rFonts w:ascii="Times New Roman" w:eastAsia="Times New Roman" w:hAnsi="Times New Roman"/>
                <w:color w:val="000000"/>
                <w:sz w:val="24"/>
                <w:shd w:val="clear" w:color="auto" w:fill="FFFFFF"/>
                <w:rtl w:val="off"/>
              </w:rPr>
              <w:t>, микрогруппах</w:t>
            </w:r>
          </w:p>
        </w:tc>
      </w:tr>
    </w:tbl>
    <w:p>
      <w:pPr>
        <w:rPr>
          <w:rFonts w:ascii="Times New Roman" w:eastAsia="Times New Roman" w:hAnsi="Times New Roman" w:hint="default"/>
        </w:rPr>
      </w:pPr>
    </w:p>
    <w:sectPr>
      <w:pgSz w:w="16838" w:h="11906" w:orient="landscape"/>
      <w:pgMar w:top="1985" w:right="1701" w:bottom="1701" w:left="1701" w:header="720" w:footer="720" w:gutter="0"/>
      <w:cols/>
      <w:docGrid w:linePitch="170" w:charSpace="170" w:type="lines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Times New Roman">
    <w:panose1 w:val="02020603050405020304"/>
    <w:notTrueType w:val="false"/>
    <w:sig w:usb0="E0002EFF" w:usb1="C000785B" w:usb2="00000009" w:usb3="00000001" w:csb0="400001FF" w:csb1="FFFF0000"/>
  </w:font>
  <w:font w:name="Calibri">
    <w:panose1 w:val="020F0502020204030204"/>
    <w:notTrueType w:val="false"/>
    <w:sig w:usb0="E4002EFF" w:usb1="C000247B" w:usb2="00000009" w:usb3="00000001" w:csb0="200001FF" w:csb1="00000001"/>
  </w:font>
  <w:font w:name="Courier New">
    <w:panose1 w:val="02070309020205020404"/>
    <w:notTrueType w:val="false"/>
    <w:sig w:usb0="E0002EFF" w:usb1="C0007843" w:usb2="00000009" w:usb3="00000001" w:csb0="400001FF" w:csb1="FFFF0000"/>
  </w:font>
  <w:font w:name="Wingdings">
    <w:panose1 w:val="05000000000000000000"/>
    <w:notTrueType w:val="false"/>
    <w:sig w:usb0="00000001" w:usb1="00000001" w:usb2="00000001" w:usb3="00000001" w:csb0="80000000" w:csb1="00000001"/>
  </w:font>
  <w:font w:name="Symbol">
    <w:panose1 w:val="05050102010706020507"/>
    <w:notTrueType w:val="false"/>
    <w:sig w:usb0="00000001" w:usb1="00000001" w:usb2="00000001" w:usb3="00000001" w:csb0="80000000" w:csb1="00000001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14="http://schemas.microsoft.com/office/word/2010/wordml" xmlns:wne="http://schemas.microsoft.com/office/word/2006/wordml">
  <w:abstractNum w:abstractNumId="0">
    <w:nsid w:val="339b049f"/>
    <w:multiLevelType w:val="hybridMultilevel"/>
    <w:tmpl w:val="e042c242"/>
    <w:lvl w:ilvl="0" w:tplc="419000f">
      <w:start w:val="1"/>
      <w:lvlText w:val="%1."/>
      <w:lvlJc w:val="left"/>
      <w:pPr>
        <w:ind w:left="720" w:hanging="360"/>
      </w:pPr>
      <w:rPr>
        <w:rFonts w:hint="default"/>
      </w:rPr>
    </w:lvl>
    <w:lvl w:ilvl="1" w:tentative="on" w:tplc="4190019">
      <w:start w:val="1"/>
      <w:numFmt w:val="lowerLetter"/>
      <w:lvlText w:val="%2."/>
      <w:lvlJc w:val="left"/>
      <w:pPr>
        <w:ind w:left="1440" w:hanging="360"/>
      </w:pPr>
    </w:lvl>
    <w:lvl w:ilvl="2" w:tentative="on" w:tplc="419001b">
      <w:start w:val="1"/>
      <w:numFmt w:val="lowerRoman"/>
      <w:lvlText w:val="%3."/>
      <w:lvlJc w:val="right"/>
      <w:pPr>
        <w:ind w:left="2160" w:hanging="180"/>
      </w:pPr>
    </w:lvl>
    <w:lvl w:ilvl="3" w:tentative="on" w:tplc="419000f">
      <w:start w:val="1"/>
      <w:lvlText w:val="%4."/>
      <w:lvlJc w:val="left"/>
      <w:pPr>
        <w:ind w:left="2880" w:hanging="360"/>
      </w:pPr>
    </w:lvl>
    <w:lvl w:ilvl="4" w:tentative="on" w:tplc="4190019">
      <w:start w:val="1"/>
      <w:numFmt w:val="lowerLetter"/>
      <w:lvlText w:val="%5."/>
      <w:lvlJc w:val="left"/>
      <w:pPr>
        <w:ind w:left="3600" w:hanging="360"/>
      </w:pPr>
    </w:lvl>
    <w:lvl w:ilvl="5" w:tentative="on" w:tplc="419001b">
      <w:start w:val="1"/>
      <w:numFmt w:val="lowerRoman"/>
      <w:lvlText w:val="%6."/>
      <w:lvlJc w:val="right"/>
      <w:pPr>
        <w:ind w:left="4320" w:hanging="180"/>
      </w:pPr>
    </w:lvl>
    <w:lvl w:ilvl="6" w:tentative="on" w:tplc="419000f">
      <w:start w:val="1"/>
      <w:lvlText w:val="%7."/>
      <w:lvlJc w:val="left"/>
      <w:pPr>
        <w:ind w:left="5040" w:hanging="360"/>
      </w:pPr>
    </w:lvl>
    <w:lvl w:ilvl="7" w:tentative="on" w:tplc="4190019">
      <w:start w:val="1"/>
      <w:numFmt w:val="lowerLetter"/>
      <w:lvlText w:val="%8."/>
      <w:lvlJc w:val="left"/>
      <w:pPr>
        <w:ind w:left="5760" w:hanging="360"/>
      </w:pPr>
    </w:lvl>
    <w:lvl w:ilvl="8" w:tentative="on" w:tplc="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0e447a"/>
    <w:multiLevelType w:val="hybridMultilevel"/>
    <w:tmpl w:val="b5f62818"/>
    <w:lvl w:ilvl="0" w:tplc="69401772">
      <w:numFmt w:val="bullet"/>
      <w:lvlText w:val="•"/>
      <w:lvlJc w:val="left"/>
      <w:pPr>
        <w:ind w:left="1170" w:hanging="450"/>
      </w:pPr>
      <w:rPr>
        <w:rFonts w:ascii="Times New Roman" w:eastAsia="Times New Roman" w:hAnsi="Times New Roman" w:cs="Times New Roman" w:hint="default"/>
      </w:rPr>
    </w:lvl>
    <w:lvl w:ilvl="1" w:tentative="on" w:tplc="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on" w:tplc="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on" w:tplc="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on" w:tplc="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on" w:tplc="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on" w:tplc="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on" w:tplc="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on" w:tplc="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a71ec3"/>
    <w:multiLevelType w:val="hybridMultilevel"/>
    <w:tmpl w:val="17325aae"/>
    <w:lvl w:ilvl="0" w:tplc="69401772">
      <w:numFmt w:val="bullet"/>
      <w:lvlText w:val="•"/>
      <w:lvlJc w:val="left"/>
      <w:pPr>
        <w:ind w:left="1170" w:hanging="450"/>
      </w:pPr>
      <w:rPr>
        <w:rFonts w:ascii="Times New Roman" w:eastAsia="Times New Roman" w:hAnsi="Times New Roman" w:cs="Times New Roman" w:hint="default"/>
      </w:rPr>
    </w:lvl>
    <w:lvl w:ilvl="1" w:tplc="5b1837fe">
      <w:numFmt w:val="bullet"/>
      <w:lvlText w:val=""/>
      <w:lvlJc w:val="left"/>
      <w:pPr>
        <w:ind w:left="1800" w:hanging="360"/>
      </w:pPr>
      <w:rPr>
        <w:rFonts w:ascii="Symbol" w:eastAsia="Times New Roman" w:hAnsi="Symbol" w:cs="Times New Roman" w:hint="default"/>
      </w:rPr>
    </w:lvl>
    <w:lvl w:ilvl="2" w:tentative="on" w:tplc="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entative="on" w:tplc="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entative="on" w:tplc="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entative="on" w:tplc="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entative="on" w:tplc="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entative="on" w:tplc="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entative="on" w:tplc="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a8a6e7c"/>
    <w:multiLevelType w:val="hybridMultilevel"/>
    <w:tmpl w:val="cfba8ca6"/>
    <w:lvl w:ilvl="0" w:tplc="69401772">
      <w:numFmt w:val="bullet"/>
      <w:lvlText w:val="•"/>
      <w:lvlJc w:val="left"/>
      <w:pPr>
        <w:ind w:left="1170" w:hanging="450"/>
      </w:pPr>
      <w:rPr>
        <w:rFonts w:ascii="Times New Roman" w:eastAsia="Times New Roman" w:hAnsi="Times New Roman" w:cs="Times New Roman" w:hint="default"/>
      </w:rPr>
    </w:lvl>
    <w:lvl w:ilvl="1" w:tentative="on" w:tplc="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on" w:tplc="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on" w:tplc="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on" w:tplc="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on" w:tplc="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on" w:tplc="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on" w:tplc="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on" w:tplc="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100"/>
  <w:removePersonalInformation/>
  <w:bordersDontSurroundHeader/>
  <w:bordersDontSurroundFooter/>
  <w:hideGrammaticalErrors/>
  <w:proofState w:spelling="clean" w:grammar="clean"/>
  <w:defaultTabStop w:val="800"/>
  <w:drawingGridHorizontalSpacing w:val="170"/>
  <w:drawingGridVerticalSpacing w:val="170"/>
  <w:displayHorizontalDrawingGridEvery w:val="2"/>
  <w:displayVerticalDrawingGridEvery w:val="2"/>
  <w:doNotShadeFormData/>
  <w:characterSpacingControl w:val="compressPunctuation"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FELayout/>
    <w:doNotUseIndentAsNumberingTabStop/>
    <w:splitPgBreakAndParaMark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" w:eastAsia="" w:bidi="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ru-RU" w:eastAsia="en-US" w:bidi="ar-SA"/>
        <w:rFonts w:asciiTheme="minorHAnsi" w:eastAsiaTheme="minorHAnsi" w:hAnsiTheme="minorHAnsi" w:cstheme="minorBidi"/>
        <w:sz w:val="22"/>
        <w:szCs w:val="22"/>
      </w:rPr>
    </w:rPrDefault>
    <w:pPrDefault>
      <w:pPr>
        <w:spacing w:after="200" w:line="276" w:lineRule="auto"/>
      </w:pPr>
    </w:pPrDefault>
  </w:docDefaults>
  <w:style w:type="paragraph" w:default="1" w:styleId="a1">
    <w:name w:val="Normal"/>
    <w:qFormat/>
  </w:style>
  <w:style w:type="character" w:default="1" w:styleId="a2">
    <w:name w:val="Default Paragraph Font"/>
    <w:semiHidden/>
    <w:unhideWhenUsed/>
  </w:style>
  <w:style w:type="table" w:default="1" w:styleId="a3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semiHidden/>
    <w:unhideWhenUsed/>
  </w:style>
  <w:style w:type="character" w:styleId="afa">
    <w:name w:val="Hyperlink"/>
    <w:basedOn w:val="a2"/>
    <w:rPr>
      <w:color w:val="000000"/>
      <w:u w:val="single" w:color="auto"/>
    </w:rPr>
  </w:style>
  <w:style w:type="character" w:customStyle="1" w:styleId="Absatz-Standardschriftart">
    <w:name w:val="Absatz-Standardschriftart"/>
  </w:style>
  <w:style w:type="paragraph" w:customStyle="1" w:styleId="1">
    <w:name w:val="Без интервала1"/>
    <w:pPr>
      <w:suppressAutoHyphens/>
      <w:suppressAutoHyphens/>
      <w:spacing w:after="0" w:line="100" w:lineRule="atLeast"/>
    </w:pPr>
    <w:rPr>
      <w:lang w:eastAsia="hi-IN" w:bidi="hi-IN"/>
      <w:rFonts w:ascii="Calibri" w:eastAsia="Times New Roman" w:hAnsi="Calibri" w:cs="Times New Roman"/>
      <w:sz w:val="20"/>
      <w:szCs w:val="24"/>
      <w:kern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fontTable" Target="fontTable.xml" /><Relationship Id="rId4" Type="http://schemas.openxmlformats.org/officeDocument/2006/relationships/webSettings" Target="webSettings.xml" /><Relationship Id="rId5" Type="http://schemas.openxmlformats.org/officeDocument/2006/relationships/numbering" Target="numbering.xml" /><Relationship Id="rId6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lastClr="000000" val="windowText"/>
      </a:dk1>
      <a:lt1>
        <a:sysClr lastClr="FFFFFF"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MS Gothic"/>
        <a:font script="Hang" typeface="맑은 고딕"/>
        <a:font script="Hans" typeface="SimSun"/>
        <a:font script="Hant" typeface="PMingLiU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BiauKai"/>
      </a:majorFont>
      <a:minorFont>
        <a:latin typeface="Calibri"/>
        <a:ea typeface=""/>
        <a:cs typeface=""/>
        <a:font script="Jpan" typeface="MS Mincho"/>
        <a:font script="Hang" typeface="맑은 고딕"/>
        <a:font script="Hans" typeface="SimSun"/>
        <a:font script="Hant" typeface="PMingLiU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BiauKai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>
          <a:solidFill>
            <a:schemeClr val="phClr">
              <a:shade val="95000"/>
              <a:satMod val="104999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Word</Application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hp</cp:lastModifiedBy>
  <cp:revision>1</cp:revision>
  <dcterms:modified xsi:type="dcterms:W3CDTF">2025-03-12T23:26:56Z</dcterms:modified>
  <cp:version>0900.0100.01</cp:version>
</cp:coreProperties>
</file>