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721" w:rsidRPr="00460A76" w:rsidRDefault="00460A76" w:rsidP="00460A76">
      <w:pPr>
        <w:jc w:val="center"/>
        <w:rPr>
          <w:rFonts w:ascii="Times New Roman" w:hAnsi="Times New Roman" w:cs="Times New Roman"/>
          <w:b/>
          <w:sz w:val="32"/>
        </w:rPr>
      </w:pPr>
      <w:r w:rsidRPr="00460A76">
        <w:rPr>
          <w:rFonts w:ascii="Times New Roman" w:hAnsi="Times New Roman" w:cs="Times New Roman"/>
          <w:b/>
          <w:sz w:val="32"/>
        </w:rPr>
        <w:t>Азбука здоровья</w:t>
      </w:r>
    </w:p>
    <w:p w:rsidR="00460A76" w:rsidRPr="00460A76" w:rsidRDefault="00460A76">
      <w:pPr>
        <w:rPr>
          <w:rFonts w:ascii="Times New Roman" w:hAnsi="Times New Roman" w:cs="Times New Roman"/>
          <w:sz w:val="28"/>
        </w:rPr>
      </w:pPr>
      <w:r w:rsidRPr="00460A76">
        <w:rPr>
          <w:rFonts w:ascii="Times New Roman" w:hAnsi="Times New Roman" w:cs="Times New Roman"/>
          <w:sz w:val="28"/>
        </w:rPr>
        <w:t>Для обобщения знаний по тематической неделе «Витаминная» с детьми двух подготовительных группы были сделаны плакаты «Азбука здоровья». Плакат раскрывает названия витаминов, в каких продуктах этот витамин содержится и для чего полезен.</w:t>
      </w:r>
    </w:p>
    <w:p w:rsidR="00460A76" w:rsidRDefault="00460A76">
      <w:pPr>
        <w:rPr>
          <w:rFonts w:ascii="Times New Roman" w:hAnsi="Times New Roman" w:cs="Times New Roman"/>
          <w:sz w:val="28"/>
        </w:rPr>
      </w:pPr>
      <w:r w:rsidRPr="00460A76">
        <w:rPr>
          <w:rFonts w:ascii="Times New Roman" w:hAnsi="Times New Roman" w:cs="Times New Roman"/>
          <w:sz w:val="28"/>
        </w:rPr>
        <w:t>Плакат 1</w:t>
      </w:r>
      <w:r>
        <w:br/>
      </w:r>
      <w:r w:rsidRPr="00460A76">
        <w:rPr>
          <w:noProof/>
          <w:lang w:eastAsia="ru-RU"/>
        </w:rPr>
        <w:drawing>
          <wp:inline distT="0" distB="0" distL="0" distR="0">
            <wp:extent cx="5390197" cy="7186930"/>
            <wp:effectExtent l="0" t="0" r="1270" b="0"/>
            <wp:docPr id="1" name="Рисунок 1" descr="C:\Users\Женямба\Desktop\6-h0ZWhD7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Женямба\Desktop\6-h0ZWhD7ls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2456" cy="7189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0A76" w:rsidRDefault="00460A76">
      <w:bookmarkStart w:id="0" w:name="_GoBack"/>
      <w:bookmarkEnd w:id="0"/>
    </w:p>
    <w:p w:rsidR="00460A76" w:rsidRPr="00460A76" w:rsidRDefault="00460A76">
      <w:pPr>
        <w:rPr>
          <w:rFonts w:ascii="Times New Roman" w:hAnsi="Times New Roman" w:cs="Times New Roman"/>
          <w:sz w:val="28"/>
        </w:rPr>
      </w:pPr>
      <w:r w:rsidRPr="00460A76">
        <w:rPr>
          <w:rFonts w:ascii="Times New Roman" w:hAnsi="Times New Roman" w:cs="Times New Roman"/>
          <w:sz w:val="28"/>
        </w:rPr>
        <w:lastRenderedPageBreak/>
        <w:t>Плакат 2</w:t>
      </w:r>
    </w:p>
    <w:p w:rsidR="00460A76" w:rsidRDefault="00460A76">
      <w:r w:rsidRPr="00460A76">
        <w:rPr>
          <w:noProof/>
          <w:lang w:eastAsia="ru-RU"/>
        </w:rPr>
        <w:drawing>
          <wp:inline distT="0" distB="0" distL="0" distR="0">
            <wp:extent cx="5940425" cy="4454449"/>
            <wp:effectExtent l="0" t="0" r="3175" b="3810"/>
            <wp:docPr id="2" name="Рисунок 2" descr="C:\Users\Женямба\Desktop\leztP1jdR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Женямба\Desktop\leztP1jdRL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60A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C9A"/>
    <w:rsid w:val="00460A76"/>
    <w:rsid w:val="006A5721"/>
    <w:rsid w:val="00E30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864D5"/>
  <w15:chartTrackingRefBased/>
  <w15:docId w15:val="{53AE02F9-7E63-4F00-BB4E-CA53917C9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Женямба</dc:creator>
  <cp:keywords/>
  <dc:description/>
  <cp:lastModifiedBy>Женямба</cp:lastModifiedBy>
  <cp:revision>2</cp:revision>
  <dcterms:created xsi:type="dcterms:W3CDTF">2019-08-21T05:16:00Z</dcterms:created>
  <dcterms:modified xsi:type="dcterms:W3CDTF">2019-08-21T05:16:00Z</dcterms:modified>
</cp:coreProperties>
</file>